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286B" w14:textId="77777777" w:rsidR="00162E2B" w:rsidRDefault="00162E2B" w:rsidP="00EF24CC">
      <w:pPr>
        <w:pStyle w:val="Title"/>
        <w:jc w:val="center"/>
      </w:pPr>
    </w:p>
    <w:p w14:paraId="1E140FE8" w14:textId="021028EB" w:rsidR="00162E2B" w:rsidRDefault="00162E2B" w:rsidP="00162E2B">
      <w:pPr>
        <w:pStyle w:val="Title"/>
      </w:pPr>
      <w:r>
        <w:rPr>
          <w:noProof/>
        </w:rPr>
        <w:drawing>
          <wp:inline distT="0" distB="0" distL="0" distR="0" wp14:anchorId="40FE6296" wp14:editId="6EC3B4C0">
            <wp:extent cx="1887026" cy="64008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7026" cy="640080"/>
                    </a:xfrm>
                    <a:prstGeom prst="rect">
                      <a:avLst/>
                    </a:prstGeom>
                  </pic:spPr>
                </pic:pic>
              </a:graphicData>
            </a:graphic>
          </wp:inline>
        </w:drawing>
      </w:r>
    </w:p>
    <w:p w14:paraId="26F5CE5B" w14:textId="77777777" w:rsidR="00162E2B" w:rsidRDefault="00162E2B" w:rsidP="00EF24CC">
      <w:pPr>
        <w:pStyle w:val="Title"/>
        <w:jc w:val="center"/>
      </w:pPr>
    </w:p>
    <w:p w14:paraId="1FD31DB4" w14:textId="77777777" w:rsidR="00162E2B" w:rsidRDefault="00162E2B" w:rsidP="00EF24CC">
      <w:pPr>
        <w:pStyle w:val="Title"/>
        <w:jc w:val="center"/>
      </w:pPr>
    </w:p>
    <w:p w14:paraId="5B32D5D3" w14:textId="77777777" w:rsidR="00162E2B" w:rsidRDefault="00162E2B" w:rsidP="00EF24CC">
      <w:pPr>
        <w:pStyle w:val="Title"/>
        <w:jc w:val="center"/>
      </w:pPr>
    </w:p>
    <w:p w14:paraId="2235E8EB" w14:textId="77777777" w:rsidR="00162E2B" w:rsidRDefault="00162E2B" w:rsidP="00EF24CC">
      <w:pPr>
        <w:pStyle w:val="Title"/>
        <w:jc w:val="center"/>
      </w:pPr>
    </w:p>
    <w:p w14:paraId="5CA6D591" w14:textId="4DE0EBE3" w:rsidR="00162E2B" w:rsidRDefault="00162E2B" w:rsidP="00EF24CC">
      <w:pPr>
        <w:pStyle w:val="Title"/>
        <w:jc w:val="center"/>
      </w:pPr>
    </w:p>
    <w:p w14:paraId="48C63297" w14:textId="768F9D80" w:rsidR="00162E2B" w:rsidRPr="00873D7C" w:rsidRDefault="00162E2B" w:rsidP="00162E2B">
      <w:pPr>
        <w:rPr>
          <w:color w:val="004AAD"/>
        </w:rPr>
      </w:pPr>
    </w:p>
    <w:p w14:paraId="7E9A1EBF" w14:textId="77777777" w:rsidR="00162E2B" w:rsidRPr="00873D7C" w:rsidRDefault="00162E2B" w:rsidP="00CB01C0">
      <w:pPr>
        <w:pBdr>
          <w:bottom w:val="single" w:sz="24" w:space="1" w:color="186EFF"/>
        </w:pBdr>
        <w:rPr>
          <w:color w:val="004AAD"/>
        </w:rPr>
      </w:pPr>
    </w:p>
    <w:p w14:paraId="6FC3C527" w14:textId="77777777" w:rsidR="00162E2B" w:rsidRPr="00873D7C" w:rsidRDefault="00162E2B" w:rsidP="00EF24CC">
      <w:pPr>
        <w:pStyle w:val="Title"/>
        <w:jc w:val="center"/>
        <w:rPr>
          <w:color w:val="004AAD"/>
        </w:rPr>
      </w:pPr>
    </w:p>
    <w:p w14:paraId="18FD645E" w14:textId="7D7950D0" w:rsidR="00162E2B" w:rsidRPr="00CB01C0" w:rsidRDefault="00131648" w:rsidP="00C4322A">
      <w:pPr>
        <w:pStyle w:val="Title"/>
        <w:rPr>
          <w:rFonts w:cstheme="majorHAnsi"/>
          <w:b w:val="0"/>
          <w:bCs/>
          <w:color w:val="186EFF"/>
          <w:spacing w:val="20"/>
        </w:rPr>
      </w:pPr>
      <w:r w:rsidRPr="00CB01C0">
        <w:rPr>
          <w:rFonts w:cstheme="majorHAnsi"/>
          <w:b w:val="0"/>
          <w:bCs/>
          <w:color w:val="186EFF"/>
          <w:spacing w:val="20"/>
        </w:rPr>
        <w:t>202</w:t>
      </w:r>
      <w:r w:rsidR="00660101" w:rsidRPr="00CB01C0">
        <w:rPr>
          <w:rFonts w:cstheme="majorHAnsi"/>
          <w:b w:val="0"/>
          <w:bCs/>
          <w:color w:val="186EFF"/>
          <w:spacing w:val="20"/>
        </w:rPr>
        <w:t>2</w:t>
      </w:r>
      <w:r w:rsidRPr="00CB01C0">
        <w:rPr>
          <w:rFonts w:cstheme="majorHAnsi"/>
          <w:b w:val="0"/>
          <w:bCs/>
          <w:color w:val="186EFF"/>
          <w:spacing w:val="20"/>
        </w:rPr>
        <w:t xml:space="preserve"> – 202</w:t>
      </w:r>
      <w:r w:rsidR="00660101" w:rsidRPr="00CB01C0">
        <w:rPr>
          <w:rFonts w:cstheme="majorHAnsi"/>
          <w:b w:val="0"/>
          <w:bCs/>
          <w:color w:val="186EFF"/>
          <w:spacing w:val="20"/>
        </w:rPr>
        <w:t>4</w:t>
      </w:r>
    </w:p>
    <w:p w14:paraId="7F94B921" w14:textId="078E3B96" w:rsidR="008C0FE5" w:rsidRPr="00CB01C0" w:rsidRDefault="00131648" w:rsidP="00C4322A">
      <w:pPr>
        <w:spacing w:after="0"/>
        <w:rPr>
          <w:rFonts w:asciiTheme="majorHAnsi" w:hAnsiTheme="majorHAnsi" w:cstheme="majorHAnsi"/>
          <w:b/>
          <w:bCs/>
          <w:color w:val="186EFF"/>
          <w:sz w:val="96"/>
          <w:szCs w:val="96"/>
        </w:rPr>
      </w:pPr>
      <w:r w:rsidRPr="00CB01C0">
        <w:rPr>
          <w:rFonts w:asciiTheme="majorHAnsi" w:hAnsiTheme="majorHAnsi" w:cstheme="majorHAnsi"/>
          <w:b/>
          <w:bCs/>
          <w:color w:val="186EFF"/>
          <w:sz w:val="96"/>
          <w:szCs w:val="96"/>
        </w:rPr>
        <w:t>INTEGRATED PREPAREDNESS PLAN</w:t>
      </w:r>
    </w:p>
    <w:p w14:paraId="5EBF829E" w14:textId="77777777" w:rsidR="00873D7C" w:rsidRPr="00CB01C0" w:rsidRDefault="00131648" w:rsidP="00C4322A">
      <w:pPr>
        <w:spacing w:after="0"/>
        <w:rPr>
          <w:rFonts w:asciiTheme="majorHAnsi" w:hAnsiTheme="majorHAnsi" w:cstheme="majorHAnsi"/>
          <w:b/>
          <w:bCs/>
          <w:color w:val="186EFF"/>
          <w:sz w:val="36"/>
          <w:szCs w:val="36"/>
        </w:rPr>
      </w:pPr>
      <w:r w:rsidRPr="00CB01C0">
        <w:rPr>
          <w:rFonts w:asciiTheme="majorHAnsi" w:hAnsiTheme="majorHAnsi" w:cstheme="majorHAnsi"/>
          <w:b/>
          <w:bCs/>
          <w:color w:val="186EFF"/>
          <w:sz w:val="36"/>
          <w:szCs w:val="36"/>
        </w:rPr>
        <w:t>TRAINING AND EXERCISES ANNEX</w:t>
      </w:r>
      <w:r w:rsidR="00873D7C" w:rsidRPr="00CB01C0">
        <w:rPr>
          <w:rFonts w:asciiTheme="majorHAnsi" w:hAnsiTheme="majorHAnsi" w:cstheme="majorHAnsi"/>
          <w:b/>
          <w:bCs/>
          <w:color w:val="186EFF"/>
          <w:sz w:val="36"/>
          <w:szCs w:val="36"/>
        </w:rPr>
        <w:t xml:space="preserve">  </w:t>
      </w:r>
    </w:p>
    <w:p w14:paraId="1AE0FE63" w14:textId="77777777" w:rsidR="00FC3120" w:rsidRDefault="00FC3120" w:rsidP="00873D7C">
      <w:pPr>
        <w:spacing w:after="0"/>
        <w:rPr>
          <w:rFonts w:asciiTheme="majorHAnsi" w:hAnsiTheme="majorHAnsi" w:cstheme="majorHAnsi"/>
          <w:b/>
          <w:bCs/>
          <w:color w:val="004AAD"/>
          <w:sz w:val="36"/>
          <w:szCs w:val="36"/>
        </w:rPr>
      </w:pPr>
    </w:p>
    <w:p w14:paraId="4231D8C4" w14:textId="77777777" w:rsidR="00FC3120" w:rsidRDefault="00FC3120" w:rsidP="00873D7C">
      <w:pPr>
        <w:spacing w:after="0"/>
        <w:rPr>
          <w:rFonts w:asciiTheme="majorHAnsi" w:hAnsiTheme="majorHAnsi" w:cstheme="majorHAnsi"/>
          <w:b/>
          <w:bCs/>
          <w:color w:val="004AAD"/>
          <w:sz w:val="36"/>
          <w:szCs w:val="36"/>
        </w:rPr>
      </w:pPr>
    </w:p>
    <w:p w14:paraId="501B4547" w14:textId="71077BD5" w:rsidR="00FC3120" w:rsidRPr="00873D7C" w:rsidRDefault="00FC3120" w:rsidP="00873D7C">
      <w:pPr>
        <w:spacing w:after="0"/>
        <w:rPr>
          <w:rFonts w:asciiTheme="majorHAnsi" w:hAnsiTheme="majorHAnsi" w:cstheme="majorHAnsi"/>
          <w:b/>
          <w:bCs/>
          <w:color w:val="004AAD"/>
          <w:sz w:val="36"/>
          <w:szCs w:val="36"/>
        </w:rPr>
        <w:sectPr w:rsidR="00FC3120" w:rsidRPr="00873D7C" w:rsidSect="002A7619">
          <w:headerReference w:type="default" r:id="rId9"/>
          <w:footerReference w:type="default" r:id="rId10"/>
          <w:pgSz w:w="12240" w:h="15840"/>
          <w:pgMar w:top="1440" w:right="1440" w:bottom="1152" w:left="1440" w:header="720" w:footer="720" w:gutter="0"/>
          <w:cols w:space="720"/>
          <w:titlePg/>
          <w:docGrid w:linePitch="360"/>
        </w:sectPr>
      </w:pPr>
    </w:p>
    <w:p w14:paraId="3C3AFC97" w14:textId="77777777" w:rsidR="002A7619" w:rsidRDefault="002A7619" w:rsidP="002A7619"/>
    <w:p w14:paraId="3DF904BF" w14:textId="77777777" w:rsidR="002A7619" w:rsidRPr="007F0811" w:rsidRDefault="002A7619" w:rsidP="002A7619">
      <w:pPr>
        <w:jc w:val="center"/>
        <w:rPr>
          <w:rFonts w:cstheme="minorHAnsi"/>
          <w:b/>
          <w:sz w:val="26"/>
          <w:szCs w:val="26"/>
          <w:u w:val="single"/>
        </w:rPr>
      </w:pPr>
      <w:r w:rsidRPr="007F0811">
        <w:rPr>
          <w:rFonts w:cstheme="minorHAnsi"/>
          <w:b/>
          <w:sz w:val="26"/>
          <w:szCs w:val="26"/>
          <w:u w:val="single"/>
        </w:rPr>
        <w:t>RECORD OF CHANGE</w:t>
      </w:r>
    </w:p>
    <w:p w14:paraId="1DF3777A" w14:textId="7FB809DC" w:rsidR="002A7619" w:rsidRPr="007F0811" w:rsidRDefault="002A7619" w:rsidP="002A7619">
      <w:pPr>
        <w:rPr>
          <w:rFonts w:cstheme="minorHAnsi"/>
        </w:rPr>
      </w:pPr>
      <w:r w:rsidRPr="007F0811">
        <w:rPr>
          <w:rFonts w:cstheme="minorHAnsi"/>
        </w:rPr>
        <w:t xml:space="preserve">The purpose of this Record of Change is to document receipt of all revisions and provide a written record that this </w:t>
      </w:r>
      <w:r w:rsidR="00873D7C">
        <w:rPr>
          <w:rFonts w:cstheme="minorHAnsi"/>
        </w:rPr>
        <w:t>Integrated Preparedness Plan (IPP)</w:t>
      </w:r>
      <w:r w:rsidRPr="007F0811">
        <w:rPr>
          <w:rFonts w:cstheme="minorHAnsi"/>
        </w:rPr>
        <w:t xml:space="preserve"> is up to date.</w:t>
      </w:r>
    </w:p>
    <w:tbl>
      <w:tblPr>
        <w:tblStyle w:val="TableGrid"/>
        <w:tblW w:w="0" w:type="auto"/>
        <w:tblCellMar>
          <w:left w:w="115" w:type="dxa"/>
          <w:right w:w="115" w:type="dxa"/>
        </w:tblCellMar>
        <w:tblLook w:val="04A0" w:firstRow="1" w:lastRow="0" w:firstColumn="1" w:lastColumn="0" w:noHBand="0" w:noVBand="1"/>
      </w:tblPr>
      <w:tblGrid>
        <w:gridCol w:w="1875"/>
        <w:gridCol w:w="1748"/>
        <w:gridCol w:w="5727"/>
      </w:tblGrid>
      <w:tr w:rsidR="002A7619" w:rsidRPr="002F0DF7" w14:paraId="03D71803" w14:textId="77777777" w:rsidTr="00CB01C0">
        <w:trPr>
          <w:trHeight w:val="467"/>
        </w:trPr>
        <w:tc>
          <w:tcPr>
            <w:tcW w:w="1875" w:type="dxa"/>
            <w:shd w:val="clear" w:color="auto" w:fill="186EFF"/>
            <w:vAlign w:val="center"/>
          </w:tcPr>
          <w:p w14:paraId="1D3E846D" w14:textId="77777777" w:rsidR="002A7619" w:rsidRPr="002F0DF7" w:rsidRDefault="002A7619" w:rsidP="00FB6B48">
            <w:pPr>
              <w:jc w:val="center"/>
              <w:rPr>
                <w:rFonts w:cstheme="minorHAnsi"/>
                <w:b/>
                <w:color w:val="FFFFFF" w:themeColor="background1"/>
                <w:sz w:val="22"/>
                <w:szCs w:val="22"/>
              </w:rPr>
            </w:pPr>
            <w:r w:rsidRPr="002F0DF7">
              <w:rPr>
                <w:rFonts w:cstheme="minorHAnsi"/>
                <w:b/>
                <w:color w:val="FFFFFF" w:themeColor="background1"/>
                <w:sz w:val="22"/>
                <w:szCs w:val="22"/>
              </w:rPr>
              <w:t>Revision #</w:t>
            </w:r>
          </w:p>
        </w:tc>
        <w:tc>
          <w:tcPr>
            <w:tcW w:w="1748" w:type="dxa"/>
            <w:shd w:val="clear" w:color="auto" w:fill="186EFF"/>
            <w:vAlign w:val="center"/>
          </w:tcPr>
          <w:p w14:paraId="026B143B" w14:textId="77777777" w:rsidR="002A7619" w:rsidRPr="002F0DF7" w:rsidRDefault="002A7619" w:rsidP="00FB6B48">
            <w:pPr>
              <w:jc w:val="center"/>
              <w:rPr>
                <w:rFonts w:cstheme="minorHAnsi"/>
                <w:b/>
                <w:color w:val="FFFFFF" w:themeColor="background1"/>
                <w:sz w:val="22"/>
                <w:szCs w:val="22"/>
              </w:rPr>
            </w:pPr>
            <w:r w:rsidRPr="002F0DF7">
              <w:rPr>
                <w:rFonts w:cstheme="minorHAnsi"/>
                <w:b/>
                <w:color w:val="FFFFFF" w:themeColor="background1"/>
                <w:sz w:val="22"/>
                <w:szCs w:val="22"/>
              </w:rPr>
              <w:t>Revision Date</w:t>
            </w:r>
          </w:p>
        </w:tc>
        <w:tc>
          <w:tcPr>
            <w:tcW w:w="5727" w:type="dxa"/>
            <w:shd w:val="clear" w:color="auto" w:fill="186EFF"/>
            <w:vAlign w:val="center"/>
          </w:tcPr>
          <w:p w14:paraId="60F3CB9C" w14:textId="77777777" w:rsidR="002A7619" w:rsidRPr="002F0DF7" w:rsidRDefault="002A7619" w:rsidP="00FB6B48">
            <w:pPr>
              <w:jc w:val="center"/>
              <w:rPr>
                <w:rFonts w:cstheme="minorHAnsi"/>
                <w:b/>
                <w:color w:val="FFFFFF" w:themeColor="background1"/>
                <w:sz w:val="22"/>
                <w:szCs w:val="22"/>
              </w:rPr>
            </w:pPr>
            <w:r w:rsidRPr="002F0DF7">
              <w:rPr>
                <w:rFonts w:cstheme="minorHAnsi"/>
                <w:b/>
                <w:color w:val="FFFFFF" w:themeColor="background1"/>
                <w:sz w:val="22"/>
                <w:szCs w:val="22"/>
              </w:rPr>
              <w:t>Noted Changes</w:t>
            </w:r>
          </w:p>
        </w:tc>
      </w:tr>
      <w:tr w:rsidR="002A7619" w:rsidRPr="002F0DF7" w14:paraId="79572CF2" w14:textId="77777777" w:rsidTr="002A7619">
        <w:trPr>
          <w:trHeight w:val="432"/>
        </w:trPr>
        <w:tc>
          <w:tcPr>
            <w:tcW w:w="1875" w:type="dxa"/>
            <w:vAlign w:val="bottom"/>
          </w:tcPr>
          <w:p w14:paraId="6DC0EAA0" w14:textId="77777777" w:rsidR="002A7619" w:rsidRPr="002F0DF7" w:rsidRDefault="002A7619" w:rsidP="00FB6B48">
            <w:pPr>
              <w:spacing w:after="60"/>
              <w:jc w:val="center"/>
              <w:rPr>
                <w:rFonts w:cstheme="minorHAnsi"/>
                <w:sz w:val="22"/>
                <w:szCs w:val="22"/>
              </w:rPr>
            </w:pPr>
            <w:r w:rsidRPr="002F0DF7">
              <w:rPr>
                <w:rFonts w:cstheme="minorHAnsi"/>
                <w:sz w:val="22"/>
                <w:szCs w:val="22"/>
              </w:rPr>
              <w:t>Initial Version</w:t>
            </w:r>
          </w:p>
        </w:tc>
        <w:tc>
          <w:tcPr>
            <w:tcW w:w="1748" w:type="dxa"/>
            <w:vAlign w:val="bottom"/>
          </w:tcPr>
          <w:p w14:paraId="1CF5FD87" w14:textId="63E1887A" w:rsidR="002A7619" w:rsidRPr="002F0DF7" w:rsidRDefault="002A7619" w:rsidP="00FB6B48">
            <w:pPr>
              <w:spacing w:after="60"/>
              <w:jc w:val="center"/>
              <w:rPr>
                <w:rFonts w:cstheme="minorHAnsi"/>
                <w:sz w:val="22"/>
                <w:szCs w:val="22"/>
              </w:rPr>
            </w:pPr>
          </w:p>
        </w:tc>
        <w:tc>
          <w:tcPr>
            <w:tcW w:w="5727" w:type="dxa"/>
            <w:vAlign w:val="bottom"/>
          </w:tcPr>
          <w:p w14:paraId="240BF232" w14:textId="52C17CE7" w:rsidR="002A7619" w:rsidRPr="002F0DF7" w:rsidRDefault="002A7619" w:rsidP="00754658">
            <w:pPr>
              <w:spacing w:after="60"/>
              <w:rPr>
                <w:rFonts w:cstheme="minorHAnsi"/>
                <w:sz w:val="22"/>
                <w:szCs w:val="22"/>
              </w:rPr>
            </w:pPr>
          </w:p>
        </w:tc>
      </w:tr>
      <w:tr w:rsidR="002A7619" w:rsidRPr="002F0DF7" w14:paraId="4C799BB7" w14:textId="77777777" w:rsidTr="002A7619">
        <w:trPr>
          <w:trHeight w:val="432"/>
        </w:trPr>
        <w:tc>
          <w:tcPr>
            <w:tcW w:w="1875" w:type="dxa"/>
            <w:vAlign w:val="bottom"/>
          </w:tcPr>
          <w:p w14:paraId="20643661" w14:textId="77777777" w:rsidR="002A7619" w:rsidRPr="002F0DF7" w:rsidRDefault="002A7619" w:rsidP="00FB6B48">
            <w:pPr>
              <w:spacing w:after="60"/>
              <w:jc w:val="center"/>
              <w:rPr>
                <w:rFonts w:cstheme="minorHAnsi"/>
                <w:sz w:val="22"/>
                <w:szCs w:val="22"/>
              </w:rPr>
            </w:pPr>
            <w:r w:rsidRPr="002F0DF7">
              <w:rPr>
                <w:rFonts w:cstheme="minorHAnsi"/>
                <w:sz w:val="22"/>
                <w:szCs w:val="22"/>
              </w:rPr>
              <w:t>01</w:t>
            </w:r>
          </w:p>
        </w:tc>
        <w:tc>
          <w:tcPr>
            <w:tcW w:w="1748" w:type="dxa"/>
            <w:vAlign w:val="bottom"/>
          </w:tcPr>
          <w:p w14:paraId="3F86E175" w14:textId="61E2BEE0" w:rsidR="002A7619" w:rsidRPr="002F0DF7" w:rsidRDefault="002A7619" w:rsidP="00FB6B48">
            <w:pPr>
              <w:spacing w:after="60"/>
              <w:jc w:val="center"/>
              <w:rPr>
                <w:rFonts w:cstheme="minorHAnsi"/>
                <w:sz w:val="22"/>
                <w:szCs w:val="22"/>
              </w:rPr>
            </w:pPr>
          </w:p>
        </w:tc>
        <w:tc>
          <w:tcPr>
            <w:tcW w:w="5727" w:type="dxa"/>
            <w:vAlign w:val="bottom"/>
          </w:tcPr>
          <w:p w14:paraId="34842484" w14:textId="6C966D0F" w:rsidR="002A7619" w:rsidRPr="00AF4307" w:rsidRDefault="002A7619" w:rsidP="00AF4307">
            <w:pPr>
              <w:spacing w:after="60"/>
              <w:rPr>
                <w:rFonts w:cstheme="minorHAnsi"/>
                <w:sz w:val="22"/>
                <w:szCs w:val="22"/>
              </w:rPr>
            </w:pPr>
          </w:p>
        </w:tc>
      </w:tr>
      <w:tr w:rsidR="002A7619" w:rsidRPr="002F0DF7" w14:paraId="2C1481F7" w14:textId="77777777" w:rsidTr="002A7619">
        <w:trPr>
          <w:trHeight w:val="432"/>
        </w:trPr>
        <w:tc>
          <w:tcPr>
            <w:tcW w:w="1875" w:type="dxa"/>
            <w:vAlign w:val="bottom"/>
          </w:tcPr>
          <w:p w14:paraId="7057AB6C" w14:textId="77777777" w:rsidR="002A7619" w:rsidRPr="002F0DF7" w:rsidRDefault="002A7619" w:rsidP="00FB6B48">
            <w:pPr>
              <w:spacing w:after="60"/>
              <w:jc w:val="center"/>
              <w:rPr>
                <w:rFonts w:cstheme="minorHAnsi"/>
                <w:sz w:val="22"/>
                <w:szCs w:val="22"/>
              </w:rPr>
            </w:pPr>
            <w:r w:rsidRPr="002F0DF7">
              <w:rPr>
                <w:rFonts w:cstheme="minorHAnsi"/>
                <w:sz w:val="22"/>
                <w:szCs w:val="22"/>
              </w:rPr>
              <w:t>02</w:t>
            </w:r>
          </w:p>
        </w:tc>
        <w:tc>
          <w:tcPr>
            <w:tcW w:w="1748" w:type="dxa"/>
            <w:vAlign w:val="bottom"/>
          </w:tcPr>
          <w:p w14:paraId="6E58364F" w14:textId="77777777" w:rsidR="002A7619" w:rsidRPr="002F0DF7" w:rsidRDefault="002A7619" w:rsidP="00FB6B48">
            <w:pPr>
              <w:spacing w:after="60"/>
              <w:jc w:val="center"/>
              <w:rPr>
                <w:rFonts w:cstheme="minorHAnsi"/>
                <w:sz w:val="22"/>
                <w:szCs w:val="22"/>
              </w:rPr>
            </w:pPr>
          </w:p>
        </w:tc>
        <w:tc>
          <w:tcPr>
            <w:tcW w:w="5727" w:type="dxa"/>
            <w:vAlign w:val="bottom"/>
          </w:tcPr>
          <w:p w14:paraId="49285A14" w14:textId="77777777" w:rsidR="002A7619" w:rsidRPr="00AF4307" w:rsidRDefault="002A7619" w:rsidP="00FB6B48">
            <w:pPr>
              <w:spacing w:after="60"/>
              <w:jc w:val="center"/>
              <w:rPr>
                <w:rFonts w:cstheme="minorHAnsi"/>
                <w:sz w:val="22"/>
                <w:szCs w:val="22"/>
              </w:rPr>
            </w:pPr>
          </w:p>
        </w:tc>
      </w:tr>
      <w:tr w:rsidR="002A7619" w:rsidRPr="002F0DF7" w14:paraId="314B19B9" w14:textId="77777777" w:rsidTr="002A7619">
        <w:trPr>
          <w:trHeight w:val="432"/>
        </w:trPr>
        <w:tc>
          <w:tcPr>
            <w:tcW w:w="1875" w:type="dxa"/>
            <w:vAlign w:val="bottom"/>
          </w:tcPr>
          <w:p w14:paraId="29CAAC43" w14:textId="77777777" w:rsidR="002A7619" w:rsidRPr="002F0DF7" w:rsidRDefault="002A7619" w:rsidP="00FB6B48">
            <w:pPr>
              <w:spacing w:after="60"/>
              <w:jc w:val="center"/>
              <w:rPr>
                <w:rFonts w:cstheme="minorHAnsi"/>
                <w:sz w:val="22"/>
                <w:szCs w:val="22"/>
              </w:rPr>
            </w:pPr>
            <w:r w:rsidRPr="002F0DF7">
              <w:rPr>
                <w:rFonts w:cstheme="minorHAnsi"/>
                <w:sz w:val="22"/>
                <w:szCs w:val="22"/>
              </w:rPr>
              <w:t>03</w:t>
            </w:r>
          </w:p>
        </w:tc>
        <w:tc>
          <w:tcPr>
            <w:tcW w:w="1748" w:type="dxa"/>
            <w:vAlign w:val="bottom"/>
          </w:tcPr>
          <w:p w14:paraId="5F3F3D69" w14:textId="77777777" w:rsidR="002A7619" w:rsidRPr="002F0DF7" w:rsidRDefault="002A7619" w:rsidP="00FB6B48">
            <w:pPr>
              <w:spacing w:after="60"/>
              <w:jc w:val="center"/>
              <w:rPr>
                <w:rFonts w:cstheme="minorHAnsi"/>
                <w:sz w:val="22"/>
                <w:szCs w:val="22"/>
              </w:rPr>
            </w:pPr>
          </w:p>
        </w:tc>
        <w:tc>
          <w:tcPr>
            <w:tcW w:w="5727" w:type="dxa"/>
            <w:vAlign w:val="bottom"/>
          </w:tcPr>
          <w:p w14:paraId="1823D265" w14:textId="77777777" w:rsidR="002A7619" w:rsidRPr="00AF4307" w:rsidRDefault="002A7619" w:rsidP="00FB6B48">
            <w:pPr>
              <w:spacing w:after="60"/>
              <w:jc w:val="center"/>
              <w:rPr>
                <w:rFonts w:cstheme="minorHAnsi"/>
                <w:sz w:val="22"/>
                <w:szCs w:val="22"/>
              </w:rPr>
            </w:pPr>
          </w:p>
        </w:tc>
      </w:tr>
      <w:tr w:rsidR="002A7619" w:rsidRPr="002F0DF7" w14:paraId="01728513" w14:textId="77777777" w:rsidTr="002A7619">
        <w:trPr>
          <w:trHeight w:val="432"/>
        </w:trPr>
        <w:tc>
          <w:tcPr>
            <w:tcW w:w="1875" w:type="dxa"/>
            <w:vAlign w:val="bottom"/>
          </w:tcPr>
          <w:p w14:paraId="2926AE6B" w14:textId="77777777" w:rsidR="002A7619" w:rsidRPr="002F0DF7" w:rsidRDefault="002A7619" w:rsidP="00FB6B48">
            <w:pPr>
              <w:spacing w:after="60"/>
              <w:jc w:val="center"/>
              <w:rPr>
                <w:rFonts w:cstheme="minorHAnsi"/>
                <w:sz w:val="22"/>
                <w:szCs w:val="22"/>
              </w:rPr>
            </w:pPr>
            <w:r w:rsidRPr="002F0DF7">
              <w:rPr>
                <w:rFonts w:cstheme="minorHAnsi"/>
                <w:sz w:val="22"/>
                <w:szCs w:val="22"/>
              </w:rPr>
              <w:t>04</w:t>
            </w:r>
          </w:p>
        </w:tc>
        <w:tc>
          <w:tcPr>
            <w:tcW w:w="1748" w:type="dxa"/>
            <w:vAlign w:val="bottom"/>
          </w:tcPr>
          <w:p w14:paraId="4BFDFB0A" w14:textId="77777777" w:rsidR="002A7619" w:rsidRPr="002F0DF7" w:rsidRDefault="002A7619" w:rsidP="00FB6B48">
            <w:pPr>
              <w:spacing w:after="60"/>
              <w:jc w:val="center"/>
              <w:rPr>
                <w:rFonts w:cstheme="minorHAnsi"/>
                <w:sz w:val="22"/>
                <w:szCs w:val="22"/>
              </w:rPr>
            </w:pPr>
          </w:p>
        </w:tc>
        <w:tc>
          <w:tcPr>
            <w:tcW w:w="5727" w:type="dxa"/>
            <w:vAlign w:val="bottom"/>
          </w:tcPr>
          <w:p w14:paraId="69948300" w14:textId="77777777" w:rsidR="002A7619" w:rsidRPr="00AF4307" w:rsidRDefault="002A7619" w:rsidP="00FB6B48">
            <w:pPr>
              <w:spacing w:after="60"/>
              <w:jc w:val="center"/>
              <w:rPr>
                <w:rFonts w:cstheme="minorHAnsi"/>
                <w:sz w:val="22"/>
                <w:szCs w:val="22"/>
              </w:rPr>
            </w:pPr>
          </w:p>
        </w:tc>
      </w:tr>
      <w:tr w:rsidR="002A7619" w:rsidRPr="002F0DF7" w14:paraId="07E55102" w14:textId="77777777" w:rsidTr="002A7619">
        <w:trPr>
          <w:trHeight w:val="432"/>
        </w:trPr>
        <w:tc>
          <w:tcPr>
            <w:tcW w:w="1875" w:type="dxa"/>
            <w:vAlign w:val="bottom"/>
          </w:tcPr>
          <w:p w14:paraId="2167D6DD" w14:textId="77777777" w:rsidR="002A7619" w:rsidRPr="002F0DF7" w:rsidRDefault="002A7619" w:rsidP="00FB6B48">
            <w:pPr>
              <w:spacing w:after="60"/>
              <w:jc w:val="center"/>
              <w:rPr>
                <w:rFonts w:cstheme="minorHAnsi"/>
                <w:sz w:val="22"/>
                <w:szCs w:val="22"/>
              </w:rPr>
            </w:pPr>
            <w:r w:rsidRPr="002F0DF7">
              <w:rPr>
                <w:rFonts w:cstheme="minorHAnsi"/>
                <w:sz w:val="22"/>
                <w:szCs w:val="22"/>
              </w:rPr>
              <w:t>05</w:t>
            </w:r>
          </w:p>
        </w:tc>
        <w:tc>
          <w:tcPr>
            <w:tcW w:w="1748" w:type="dxa"/>
            <w:vAlign w:val="bottom"/>
          </w:tcPr>
          <w:p w14:paraId="27AA8F2A" w14:textId="77777777" w:rsidR="002A7619" w:rsidRPr="002F0DF7" w:rsidRDefault="002A7619" w:rsidP="00FB6B48">
            <w:pPr>
              <w:spacing w:after="60"/>
              <w:jc w:val="center"/>
              <w:rPr>
                <w:rFonts w:cstheme="minorHAnsi"/>
                <w:sz w:val="22"/>
                <w:szCs w:val="22"/>
              </w:rPr>
            </w:pPr>
          </w:p>
        </w:tc>
        <w:tc>
          <w:tcPr>
            <w:tcW w:w="5727" w:type="dxa"/>
            <w:vAlign w:val="bottom"/>
          </w:tcPr>
          <w:p w14:paraId="55430A0C" w14:textId="77777777" w:rsidR="002A7619" w:rsidRPr="00AF4307" w:rsidRDefault="002A7619" w:rsidP="00FB6B48">
            <w:pPr>
              <w:spacing w:after="60"/>
              <w:jc w:val="center"/>
              <w:rPr>
                <w:rFonts w:cstheme="minorHAnsi"/>
                <w:sz w:val="22"/>
                <w:szCs w:val="22"/>
              </w:rPr>
            </w:pPr>
          </w:p>
        </w:tc>
      </w:tr>
      <w:tr w:rsidR="002A7619" w:rsidRPr="002F0DF7" w14:paraId="06E9C74C" w14:textId="77777777" w:rsidTr="002A7619">
        <w:trPr>
          <w:trHeight w:val="432"/>
        </w:trPr>
        <w:tc>
          <w:tcPr>
            <w:tcW w:w="1875" w:type="dxa"/>
            <w:vAlign w:val="bottom"/>
          </w:tcPr>
          <w:p w14:paraId="03615F0B" w14:textId="77777777" w:rsidR="002A7619" w:rsidRPr="002F0DF7" w:rsidRDefault="002A7619" w:rsidP="00FB6B48">
            <w:pPr>
              <w:spacing w:after="60"/>
              <w:jc w:val="center"/>
              <w:rPr>
                <w:rFonts w:cstheme="minorHAnsi"/>
                <w:sz w:val="22"/>
                <w:szCs w:val="22"/>
              </w:rPr>
            </w:pPr>
            <w:r w:rsidRPr="002F0DF7">
              <w:rPr>
                <w:rFonts w:cstheme="minorHAnsi"/>
                <w:sz w:val="22"/>
                <w:szCs w:val="22"/>
              </w:rPr>
              <w:t>06</w:t>
            </w:r>
          </w:p>
        </w:tc>
        <w:tc>
          <w:tcPr>
            <w:tcW w:w="1748" w:type="dxa"/>
            <w:vAlign w:val="bottom"/>
          </w:tcPr>
          <w:p w14:paraId="4987EE01" w14:textId="77777777" w:rsidR="002A7619" w:rsidRPr="002F0DF7" w:rsidRDefault="002A7619" w:rsidP="00FB6B48">
            <w:pPr>
              <w:spacing w:after="60"/>
              <w:jc w:val="center"/>
              <w:rPr>
                <w:rFonts w:cstheme="minorHAnsi"/>
                <w:sz w:val="22"/>
                <w:szCs w:val="22"/>
              </w:rPr>
            </w:pPr>
          </w:p>
        </w:tc>
        <w:tc>
          <w:tcPr>
            <w:tcW w:w="5727" w:type="dxa"/>
            <w:vAlign w:val="bottom"/>
          </w:tcPr>
          <w:p w14:paraId="7EC2815D" w14:textId="77777777" w:rsidR="002A7619" w:rsidRPr="00AF4307" w:rsidRDefault="002A7619" w:rsidP="00FB6B48">
            <w:pPr>
              <w:spacing w:after="60"/>
              <w:jc w:val="center"/>
              <w:rPr>
                <w:rFonts w:cstheme="minorHAnsi"/>
                <w:sz w:val="22"/>
                <w:szCs w:val="22"/>
              </w:rPr>
            </w:pPr>
          </w:p>
        </w:tc>
      </w:tr>
      <w:tr w:rsidR="002A7619" w:rsidRPr="002F0DF7" w14:paraId="385AD469" w14:textId="77777777" w:rsidTr="002A7619">
        <w:trPr>
          <w:trHeight w:val="432"/>
        </w:trPr>
        <w:tc>
          <w:tcPr>
            <w:tcW w:w="1875" w:type="dxa"/>
            <w:vAlign w:val="bottom"/>
          </w:tcPr>
          <w:p w14:paraId="518F617C" w14:textId="77777777" w:rsidR="002A7619" w:rsidRPr="002F0DF7" w:rsidRDefault="002A7619" w:rsidP="00FB6B48">
            <w:pPr>
              <w:spacing w:after="60"/>
              <w:jc w:val="center"/>
              <w:rPr>
                <w:rFonts w:cstheme="minorHAnsi"/>
                <w:sz w:val="22"/>
                <w:szCs w:val="22"/>
              </w:rPr>
            </w:pPr>
            <w:r w:rsidRPr="002F0DF7">
              <w:rPr>
                <w:rFonts w:cstheme="minorHAnsi"/>
                <w:sz w:val="22"/>
                <w:szCs w:val="22"/>
              </w:rPr>
              <w:t>07</w:t>
            </w:r>
          </w:p>
        </w:tc>
        <w:tc>
          <w:tcPr>
            <w:tcW w:w="1748" w:type="dxa"/>
            <w:vAlign w:val="bottom"/>
          </w:tcPr>
          <w:p w14:paraId="049BB8B4" w14:textId="77777777" w:rsidR="002A7619" w:rsidRPr="002F0DF7" w:rsidRDefault="002A7619" w:rsidP="00FB6B48">
            <w:pPr>
              <w:spacing w:after="60"/>
              <w:jc w:val="center"/>
              <w:rPr>
                <w:rFonts w:cstheme="minorHAnsi"/>
                <w:sz w:val="22"/>
                <w:szCs w:val="22"/>
              </w:rPr>
            </w:pPr>
          </w:p>
        </w:tc>
        <w:tc>
          <w:tcPr>
            <w:tcW w:w="5727" w:type="dxa"/>
            <w:vAlign w:val="bottom"/>
          </w:tcPr>
          <w:p w14:paraId="65097F05" w14:textId="77777777" w:rsidR="002A7619" w:rsidRPr="00AF4307" w:rsidRDefault="002A7619" w:rsidP="00FB6B48">
            <w:pPr>
              <w:spacing w:after="60"/>
              <w:jc w:val="center"/>
              <w:rPr>
                <w:rFonts w:cstheme="minorHAnsi"/>
                <w:sz w:val="22"/>
                <w:szCs w:val="22"/>
              </w:rPr>
            </w:pPr>
          </w:p>
        </w:tc>
      </w:tr>
      <w:tr w:rsidR="002A7619" w:rsidRPr="002F0DF7" w14:paraId="027A9BD4" w14:textId="77777777" w:rsidTr="002A7619">
        <w:trPr>
          <w:trHeight w:val="432"/>
        </w:trPr>
        <w:tc>
          <w:tcPr>
            <w:tcW w:w="1875" w:type="dxa"/>
            <w:vAlign w:val="bottom"/>
          </w:tcPr>
          <w:p w14:paraId="0F9381B6" w14:textId="77777777" w:rsidR="002A7619" w:rsidRPr="002F0DF7" w:rsidRDefault="002A7619" w:rsidP="00FB6B48">
            <w:pPr>
              <w:spacing w:after="60"/>
              <w:jc w:val="center"/>
              <w:rPr>
                <w:rFonts w:cstheme="minorHAnsi"/>
                <w:sz w:val="22"/>
                <w:szCs w:val="22"/>
              </w:rPr>
            </w:pPr>
            <w:r w:rsidRPr="002F0DF7">
              <w:rPr>
                <w:rFonts w:cstheme="minorHAnsi"/>
                <w:sz w:val="22"/>
                <w:szCs w:val="22"/>
              </w:rPr>
              <w:t>08</w:t>
            </w:r>
          </w:p>
        </w:tc>
        <w:tc>
          <w:tcPr>
            <w:tcW w:w="1748" w:type="dxa"/>
            <w:vAlign w:val="bottom"/>
          </w:tcPr>
          <w:p w14:paraId="28E3D41F" w14:textId="77777777" w:rsidR="002A7619" w:rsidRPr="002F0DF7" w:rsidRDefault="002A7619" w:rsidP="00FB6B48">
            <w:pPr>
              <w:spacing w:after="60"/>
              <w:jc w:val="center"/>
              <w:rPr>
                <w:rFonts w:cstheme="minorHAnsi"/>
                <w:sz w:val="22"/>
                <w:szCs w:val="22"/>
              </w:rPr>
            </w:pPr>
          </w:p>
        </w:tc>
        <w:tc>
          <w:tcPr>
            <w:tcW w:w="5727" w:type="dxa"/>
            <w:vAlign w:val="bottom"/>
          </w:tcPr>
          <w:p w14:paraId="474D7B29" w14:textId="77777777" w:rsidR="002A7619" w:rsidRPr="00AF4307" w:rsidRDefault="002A7619" w:rsidP="00FB6B48">
            <w:pPr>
              <w:spacing w:after="60"/>
              <w:jc w:val="center"/>
              <w:rPr>
                <w:rFonts w:cstheme="minorHAnsi"/>
                <w:sz w:val="22"/>
                <w:szCs w:val="22"/>
              </w:rPr>
            </w:pPr>
          </w:p>
        </w:tc>
      </w:tr>
      <w:tr w:rsidR="002A7619" w:rsidRPr="002F0DF7" w14:paraId="0B2C304B" w14:textId="77777777" w:rsidTr="002A7619">
        <w:trPr>
          <w:trHeight w:val="432"/>
        </w:trPr>
        <w:tc>
          <w:tcPr>
            <w:tcW w:w="1875" w:type="dxa"/>
            <w:vAlign w:val="bottom"/>
          </w:tcPr>
          <w:p w14:paraId="34B8D5E1" w14:textId="77777777" w:rsidR="002A7619" w:rsidRPr="002F0DF7" w:rsidRDefault="002A7619" w:rsidP="00FB6B48">
            <w:pPr>
              <w:spacing w:after="60"/>
              <w:jc w:val="center"/>
              <w:rPr>
                <w:rFonts w:cstheme="minorHAnsi"/>
                <w:sz w:val="22"/>
                <w:szCs w:val="22"/>
              </w:rPr>
            </w:pPr>
            <w:r w:rsidRPr="002F0DF7">
              <w:rPr>
                <w:rFonts w:cstheme="minorHAnsi"/>
                <w:sz w:val="22"/>
                <w:szCs w:val="22"/>
              </w:rPr>
              <w:t>09</w:t>
            </w:r>
          </w:p>
        </w:tc>
        <w:tc>
          <w:tcPr>
            <w:tcW w:w="1748" w:type="dxa"/>
            <w:vAlign w:val="bottom"/>
          </w:tcPr>
          <w:p w14:paraId="31F1E59E" w14:textId="77777777" w:rsidR="002A7619" w:rsidRPr="002F0DF7" w:rsidRDefault="002A7619" w:rsidP="00FB6B48">
            <w:pPr>
              <w:spacing w:after="60"/>
              <w:jc w:val="center"/>
              <w:rPr>
                <w:rFonts w:cstheme="minorHAnsi"/>
                <w:sz w:val="22"/>
                <w:szCs w:val="22"/>
              </w:rPr>
            </w:pPr>
          </w:p>
        </w:tc>
        <w:tc>
          <w:tcPr>
            <w:tcW w:w="5727" w:type="dxa"/>
            <w:vAlign w:val="bottom"/>
          </w:tcPr>
          <w:p w14:paraId="2802B6D1" w14:textId="77777777" w:rsidR="002A7619" w:rsidRPr="00AF4307" w:rsidRDefault="002A7619" w:rsidP="00FB6B48">
            <w:pPr>
              <w:spacing w:after="60"/>
              <w:jc w:val="center"/>
              <w:rPr>
                <w:rFonts w:cstheme="minorHAnsi"/>
                <w:sz w:val="22"/>
                <w:szCs w:val="22"/>
              </w:rPr>
            </w:pPr>
          </w:p>
        </w:tc>
      </w:tr>
      <w:tr w:rsidR="002A7619" w:rsidRPr="002F0DF7" w14:paraId="3E0C5A41" w14:textId="77777777" w:rsidTr="002A7619">
        <w:trPr>
          <w:trHeight w:val="432"/>
        </w:trPr>
        <w:tc>
          <w:tcPr>
            <w:tcW w:w="1875" w:type="dxa"/>
            <w:vAlign w:val="bottom"/>
          </w:tcPr>
          <w:p w14:paraId="394561D9" w14:textId="77777777" w:rsidR="002A7619" w:rsidRPr="002F0DF7" w:rsidRDefault="002A7619" w:rsidP="00FB6B48">
            <w:pPr>
              <w:spacing w:after="60"/>
              <w:jc w:val="center"/>
              <w:rPr>
                <w:rFonts w:cstheme="minorHAnsi"/>
                <w:sz w:val="22"/>
                <w:szCs w:val="22"/>
              </w:rPr>
            </w:pPr>
            <w:r w:rsidRPr="002F0DF7">
              <w:rPr>
                <w:rFonts w:cstheme="minorHAnsi"/>
                <w:sz w:val="22"/>
                <w:szCs w:val="22"/>
              </w:rPr>
              <w:t>10</w:t>
            </w:r>
          </w:p>
        </w:tc>
        <w:tc>
          <w:tcPr>
            <w:tcW w:w="1748" w:type="dxa"/>
            <w:vAlign w:val="bottom"/>
          </w:tcPr>
          <w:p w14:paraId="35C788F1" w14:textId="77777777" w:rsidR="002A7619" w:rsidRPr="002F0DF7" w:rsidRDefault="002A7619" w:rsidP="00FB6B48">
            <w:pPr>
              <w:spacing w:after="60"/>
              <w:jc w:val="center"/>
              <w:rPr>
                <w:rFonts w:cstheme="minorHAnsi"/>
                <w:sz w:val="22"/>
                <w:szCs w:val="22"/>
              </w:rPr>
            </w:pPr>
          </w:p>
        </w:tc>
        <w:tc>
          <w:tcPr>
            <w:tcW w:w="5727" w:type="dxa"/>
            <w:vAlign w:val="bottom"/>
          </w:tcPr>
          <w:p w14:paraId="42DD477D" w14:textId="77777777" w:rsidR="002A7619" w:rsidRPr="00AF4307" w:rsidRDefault="002A7619" w:rsidP="00FB6B48">
            <w:pPr>
              <w:spacing w:after="60"/>
              <w:jc w:val="center"/>
              <w:rPr>
                <w:rFonts w:cstheme="minorHAnsi"/>
                <w:sz w:val="22"/>
                <w:szCs w:val="22"/>
              </w:rPr>
            </w:pPr>
          </w:p>
        </w:tc>
      </w:tr>
      <w:tr w:rsidR="002A7619" w:rsidRPr="002F0DF7" w14:paraId="58E8354C" w14:textId="77777777" w:rsidTr="002A7619">
        <w:trPr>
          <w:trHeight w:val="432"/>
        </w:trPr>
        <w:tc>
          <w:tcPr>
            <w:tcW w:w="1875" w:type="dxa"/>
            <w:vAlign w:val="bottom"/>
          </w:tcPr>
          <w:p w14:paraId="7AEF5344" w14:textId="77777777" w:rsidR="002A7619" w:rsidRPr="002F0DF7" w:rsidRDefault="002A7619" w:rsidP="00FB6B48">
            <w:pPr>
              <w:spacing w:after="60"/>
              <w:jc w:val="center"/>
              <w:rPr>
                <w:rFonts w:cstheme="minorHAnsi"/>
                <w:sz w:val="22"/>
                <w:szCs w:val="22"/>
              </w:rPr>
            </w:pPr>
            <w:r w:rsidRPr="002F0DF7">
              <w:rPr>
                <w:rFonts w:cstheme="minorHAnsi"/>
                <w:sz w:val="22"/>
                <w:szCs w:val="22"/>
              </w:rPr>
              <w:t>11</w:t>
            </w:r>
          </w:p>
        </w:tc>
        <w:tc>
          <w:tcPr>
            <w:tcW w:w="1748" w:type="dxa"/>
            <w:vAlign w:val="bottom"/>
          </w:tcPr>
          <w:p w14:paraId="4A5A47DF" w14:textId="77777777" w:rsidR="002A7619" w:rsidRPr="002F0DF7" w:rsidRDefault="002A7619" w:rsidP="00FB6B48">
            <w:pPr>
              <w:spacing w:after="60"/>
              <w:jc w:val="center"/>
              <w:rPr>
                <w:rFonts w:cstheme="minorHAnsi"/>
                <w:sz w:val="22"/>
                <w:szCs w:val="22"/>
              </w:rPr>
            </w:pPr>
          </w:p>
        </w:tc>
        <w:tc>
          <w:tcPr>
            <w:tcW w:w="5727" w:type="dxa"/>
            <w:vAlign w:val="bottom"/>
          </w:tcPr>
          <w:p w14:paraId="04840CB5" w14:textId="77777777" w:rsidR="002A7619" w:rsidRPr="00AF4307" w:rsidRDefault="002A7619" w:rsidP="00FB6B48">
            <w:pPr>
              <w:spacing w:after="60"/>
              <w:jc w:val="center"/>
              <w:rPr>
                <w:rFonts w:cstheme="minorHAnsi"/>
                <w:sz w:val="22"/>
                <w:szCs w:val="22"/>
              </w:rPr>
            </w:pPr>
          </w:p>
        </w:tc>
      </w:tr>
      <w:tr w:rsidR="002A7619" w:rsidRPr="002F0DF7" w14:paraId="46A7BFC1" w14:textId="77777777" w:rsidTr="002A7619">
        <w:trPr>
          <w:trHeight w:val="432"/>
        </w:trPr>
        <w:tc>
          <w:tcPr>
            <w:tcW w:w="1875" w:type="dxa"/>
            <w:vAlign w:val="bottom"/>
          </w:tcPr>
          <w:p w14:paraId="5F5191A1" w14:textId="77777777" w:rsidR="002A7619" w:rsidRPr="002F0DF7" w:rsidRDefault="002A7619" w:rsidP="00FB6B48">
            <w:pPr>
              <w:spacing w:after="60"/>
              <w:jc w:val="center"/>
              <w:rPr>
                <w:rFonts w:cstheme="minorHAnsi"/>
                <w:sz w:val="22"/>
                <w:szCs w:val="22"/>
              </w:rPr>
            </w:pPr>
            <w:r w:rsidRPr="002F0DF7">
              <w:rPr>
                <w:rFonts w:cstheme="minorHAnsi"/>
                <w:sz w:val="22"/>
                <w:szCs w:val="22"/>
              </w:rPr>
              <w:t>12</w:t>
            </w:r>
          </w:p>
        </w:tc>
        <w:tc>
          <w:tcPr>
            <w:tcW w:w="1748" w:type="dxa"/>
            <w:vAlign w:val="bottom"/>
          </w:tcPr>
          <w:p w14:paraId="574CB257" w14:textId="77777777" w:rsidR="002A7619" w:rsidRPr="002F0DF7" w:rsidRDefault="002A7619" w:rsidP="00FB6B48">
            <w:pPr>
              <w:spacing w:after="60"/>
              <w:jc w:val="center"/>
              <w:rPr>
                <w:rFonts w:cstheme="minorHAnsi"/>
                <w:sz w:val="22"/>
                <w:szCs w:val="22"/>
              </w:rPr>
            </w:pPr>
          </w:p>
        </w:tc>
        <w:tc>
          <w:tcPr>
            <w:tcW w:w="5727" w:type="dxa"/>
            <w:vAlign w:val="bottom"/>
          </w:tcPr>
          <w:p w14:paraId="3462A02D" w14:textId="77777777" w:rsidR="002A7619" w:rsidRPr="00AF4307" w:rsidRDefault="002A7619" w:rsidP="00FB6B48">
            <w:pPr>
              <w:spacing w:after="60"/>
              <w:jc w:val="center"/>
              <w:rPr>
                <w:rFonts w:cstheme="minorHAnsi"/>
                <w:sz w:val="22"/>
                <w:szCs w:val="22"/>
              </w:rPr>
            </w:pPr>
          </w:p>
        </w:tc>
      </w:tr>
      <w:tr w:rsidR="002A7619" w:rsidRPr="002F0DF7" w14:paraId="05D1F629" w14:textId="77777777" w:rsidTr="002A7619">
        <w:trPr>
          <w:trHeight w:val="432"/>
        </w:trPr>
        <w:tc>
          <w:tcPr>
            <w:tcW w:w="1875" w:type="dxa"/>
            <w:vAlign w:val="bottom"/>
          </w:tcPr>
          <w:p w14:paraId="2C742E0D" w14:textId="77777777" w:rsidR="002A7619" w:rsidRPr="002F0DF7" w:rsidRDefault="002A7619" w:rsidP="00FB6B48">
            <w:pPr>
              <w:spacing w:after="60"/>
              <w:jc w:val="center"/>
              <w:rPr>
                <w:rFonts w:cstheme="minorHAnsi"/>
                <w:sz w:val="22"/>
                <w:szCs w:val="22"/>
              </w:rPr>
            </w:pPr>
            <w:r w:rsidRPr="002F0DF7">
              <w:rPr>
                <w:rFonts w:cstheme="minorHAnsi"/>
                <w:sz w:val="22"/>
                <w:szCs w:val="22"/>
              </w:rPr>
              <w:t>13</w:t>
            </w:r>
          </w:p>
        </w:tc>
        <w:tc>
          <w:tcPr>
            <w:tcW w:w="1748" w:type="dxa"/>
            <w:vAlign w:val="bottom"/>
          </w:tcPr>
          <w:p w14:paraId="00176186" w14:textId="77777777" w:rsidR="002A7619" w:rsidRPr="002F0DF7" w:rsidRDefault="002A7619" w:rsidP="00FB6B48">
            <w:pPr>
              <w:spacing w:after="60"/>
              <w:jc w:val="center"/>
              <w:rPr>
                <w:rFonts w:cstheme="minorHAnsi"/>
                <w:sz w:val="22"/>
                <w:szCs w:val="22"/>
              </w:rPr>
            </w:pPr>
          </w:p>
        </w:tc>
        <w:tc>
          <w:tcPr>
            <w:tcW w:w="5727" w:type="dxa"/>
            <w:vAlign w:val="bottom"/>
          </w:tcPr>
          <w:p w14:paraId="1C04F905" w14:textId="77777777" w:rsidR="002A7619" w:rsidRPr="00AF4307" w:rsidRDefault="002A7619" w:rsidP="00FB6B48">
            <w:pPr>
              <w:spacing w:after="60"/>
              <w:jc w:val="center"/>
              <w:rPr>
                <w:rFonts w:cstheme="minorHAnsi"/>
                <w:sz w:val="22"/>
                <w:szCs w:val="22"/>
              </w:rPr>
            </w:pPr>
          </w:p>
        </w:tc>
      </w:tr>
      <w:tr w:rsidR="002A7619" w:rsidRPr="002F0DF7" w14:paraId="2E85C919" w14:textId="77777777" w:rsidTr="002A7619">
        <w:trPr>
          <w:trHeight w:val="432"/>
        </w:trPr>
        <w:tc>
          <w:tcPr>
            <w:tcW w:w="1875" w:type="dxa"/>
            <w:vAlign w:val="bottom"/>
          </w:tcPr>
          <w:p w14:paraId="62DD2CA1" w14:textId="77777777" w:rsidR="002A7619" w:rsidRPr="002F0DF7" w:rsidRDefault="002A7619" w:rsidP="00FB6B48">
            <w:pPr>
              <w:spacing w:after="60"/>
              <w:jc w:val="center"/>
              <w:rPr>
                <w:rFonts w:cstheme="minorHAnsi"/>
                <w:sz w:val="22"/>
                <w:szCs w:val="22"/>
              </w:rPr>
            </w:pPr>
            <w:r w:rsidRPr="002F0DF7">
              <w:rPr>
                <w:rFonts w:cstheme="minorHAnsi"/>
                <w:sz w:val="22"/>
                <w:szCs w:val="22"/>
              </w:rPr>
              <w:t>14</w:t>
            </w:r>
          </w:p>
        </w:tc>
        <w:tc>
          <w:tcPr>
            <w:tcW w:w="1748" w:type="dxa"/>
            <w:vAlign w:val="bottom"/>
          </w:tcPr>
          <w:p w14:paraId="5A05FCFF" w14:textId="77777777" w:rsidR="002A7619" w:rsidRPr="002F0DF7" w:rsidRDefault="002A7619" w:rsidP="00FB6B48">
            <w:pPr>
              <w:spacing w:after="60"/>
              <w:jc w:val="center"/>
              <w:rPr>
                <w:rFonts w:cstheme="minorHAnsi"/>
                <w:sz w:val="22"/>
                <w:szCs w:val="22"/>
              </w:rPr>
            </w:pPr>
          </w:p>
        </w:tc>
        <w:tc>
          <w:tcPr>
            <w:tcW w:w="5727" w:type="dxa"/>
            <w:vAlign w:val="bottom"/>
          </w:tcPr>
          <w:p w14:paraId="32C79AAE" w14:textId="77777777" w:rsidR="002A7619" w:rsidRPr="00AF4307" w:rsidRDefault="002A7619" w:rsidP="00FB6B48">
            <w:pPr>
              <w:spacing w:after="60"/>
              <w:jc w:val="center"/>
              <w:rPr>
                <w:rFonts w:cstheme="minorHAnsi"/>
                <w:sz w:val="22"/>
                <w:szCs w:val="22"/>
              </w:rPr>
            </w:pPr>
          </w:p>
        </w:tc>
      </w:tr>
      <w:tr w:rsidR="002A7619" w:rsidRPr="002F0DF7" w14:paraId="02672433" w14:textId="77777777" w:rsidTr="002A7619">
        <w:trPr>
          <w:trHeight w:val="432"/>
        </w:trPr>
        <w:tc>
          <w:tcPr>
            <w:tcW w:w="1875" w:type="dxa"/>
            <w:vAlign w:val="bottom"/>
          </w:tcPr>
          <w:p w14:paraId="5D808D49" w14:textId="77777777" w:rsidR="002A7619" w:rsidRPr="002F0DF7" w:rsidRDefault="002A7619" w:rsidP="00FB6B48">
            <w:pPr>
              <w:spacing w:after="60"/>
              <w:jc w:val="center"/>
              <w:rPr>
                <w:rFonts w:cstheme="minorHAnsi"/>
                <w:sz w:val="22"/>
                <w:szCs w:val="22"/>
              </w:rPr>
            </w:pPr>
            <w:r w:rsidRPr="002F0DF7">
              <w:rPr>
                <w:rFonts w:cstheme="minorHAnsi"/>
                <w:sz w:val="22"/>
                <w:szCs w:val="22"/>
              </w:rPr>
              <w:t>15</w:t>
            </w:r>
          </w:p>
        </w:tc>
        <w:tc>
          <w:tcPr>
            <w:tcW w:w="1748" w:type="dxa"/>
            <w:vAlign w:val="bottom"/>
          </w:tcPr>
          <w:p w14:paraId="27B9151E" w14:textId="77777777" w:rsidR="002A7619" w:rsidRPr="002F0DF7" w:rsidRDefault="002A7619" w:rsidP="00FB6B48">
            <w:pPr>
              <w:spacing w:after="60"/>
              <w:jc w:val="center"/>
              <w:rPr>
                <w:rFonts w:cstheme="minorHAnsi"/>
                <w:sz w:val="22"/>
                <w:szCs w:val="22"/>
              </w:rPr>
            </w:pPr>
          </w:p>
        </w:tc>
        <w:tc>
          <w:tcPr>
            <w:tcW w:w="5727" w:type="dxa"/>
            <w:vAlign w:val="bottom"/>
          </w:tcPr>
          <w:p w14:paraId="026BF373" w14:textId="77777777" w:rsidR="002A7619" w:rsidRPr="00AF4307" w:rsidRDefault="002A7619" w:rsidP="00FB6B48">
            <w:pPr>
              <w:spacing w:after="60"/>
              <w:jc w:val="center"/>
              <w:rPr>
                <w:rFonts w:cstheme="minorHAnsi"/>
                <w:sz w:val="22"/>
                <w:szCs w:val="22"/>
              </w:rPr>
            </w:pPr>
          </w:p>
        </w:tc>
      </w:tr>
      <w:tr w:rsidR="002A7619" w:rsidRPr="002F0DF7" w14:paraId="182D0CAE" w14:textId="77777777" w:rsidTr="002A7619">
        <w:trPr>
          <w:trHeight w:val="432"/>
        </w:trPr>
        <w:tc>
          <w:tcPr>
            <w:tcW w:w="1875" w:type="dxa"/>
            <w:vAlign w:val="bottom"/>
          </w:tcPr>
          <w:p w14:paraId="49E46C74" w14:textId="77777777" w:rsidR="002A7619" w:rsidRPr="002F0DF7" w:rsidRDefault="002A7619" w:rsidP="00FB6B48">
            <w:pPr>
              <w:spacing w:after="60"/>
              <w:jc w:val="center"/>
              <w:rPr>
                <w:rFonts w:cstheme="minorHAnsi"/>
                <w:sz w:val="22"/>
                <w:szCs w:val="22"/>
              </w:rPr>
            </w:pPr>
            <w:r w:rsidRPr="002F0DF7">
              <w:rPr>
                <w:rFonts w:cstheme="minorHAnsi"/>
                <w:sz w:val="22"/>
                <w:szCs w:val="22"/>
              </w:rPr>
              <w:t>16</w:t>
            </w:r>
          </w:p>
        </w:tc>
        <w:tc>
          <w:tcPr>
            <w:tcW w:w="1748" w:type="dxa"/>
            <w:vAlign w:val="bottom"/>
          </w:tcPr>
          <w:p w14:paraId="5B218A42" w14:textId="77777777" w:rsidR="002A7619" w:rsidRPr="002F0DF7" w:rsidRDefault="002A7619" w:rsidP="00FB6B48">
            <w:pPr>
              <w:spacing w:after="60"/>
              <w:jc w:val="center"/>
              <w:rPr>
                <w:rFonts w:cstheme="minorHAnsi"/>
                <w:sz w:val="22"/>
                <w:szCs w:val="22"/>
              </w:rPr>
            </w:pPr>
          </w:p>
        </w:tc>
        <w:tc>
          <w:tcPr>
            <w:tcW w:w="5727" w:type="dxa"/>
            <w:vAlign w:val="bottom"/>
          </w:tcPr>
          <w:p w14:paraId="30C1DC4C" w14:textId="77777777" w:rsidR="002A7619" w:rsidRPr="00AF4307" w:rsidRDefault="002A7619" w:rsidP="00FB6B48">
            <w:pPr>
              <w:spacing w:after="60"/>
              <w:jc w:val="center"/>
              <w:rPr>
                <w:rFonts w:cstheme="minorHAnsi"/>
                <w:sz w:val="22"/>
                <w:szCs w:val="22"/>
              </w:rPr>
            </w:pPr>
          </w:p>
        </w:tc>
      </w:tr>
      <w:tr w:rsidR="002A7619" w:rsidRPr="002F0DF7" w14:paraId="477D5CE4" w14:textId="77777777" w:rsidTr="002A7619">
        <w:trPr>
          <w:trHeight w:val="432"/>
        </w:trPr>
        <w:tc>
          <w:tcPr>
            <w:tcW w:w="1875" w:type="dxa"/>
            <w:vAlign w:val="bottom"/>
          </w:tcPr>
          <w:p w14:paraId="134C241D" w14:textId="77777777" w:rsidR="002A7619" w:rsidRPr="002F0DF7" w:rsidRDefault="002A7619" w:rsidP="00FB6B48">
            <w:pPr>
              <w:spacing w:after="60"/>
              <w:jc w:val="center"/>
              <w:rPr>
                <w:rFonts w:cstheme="minorHAnsi"/>
                <w:sz w:val="22"/>
                <w:szCs w:val="22"/>
              </w:rPr>
            </w:pPr>
            <w:r w:rsidRPr="002F0DF7">
              <w:rPr>
                <w:rFonts w:cstheme="minorHAnsi"/>
                <w:sz w:val="22"/>
                <w:szCs w:val="22"/>
              </w:rPr>
              <w:t>17</w:t>
            </w:r>
          </w:p>
        </w:tc>
        <w:tc>
          <w:tcPr>
            <w:tcW w:w="1748" w:type="dxa"/>
            <w:vAlign w:val="bottom"/>
          </w:tcPr>
          <w:p w14:paraId="6B122926" w14:textId="77777777" w:rsidR="002A7619" w:rsidRPr="002F0DF7" w:rsidRDefault="002A7619" w:rsidP="00FB6B48">
            <w:pPr>
              <w:spacing w:after="60"/>
              <w:jc w:val="center"/>
              <w:rPr>
                <w:rFonts w:cstheme="minorHAnsi"/>
                <w:sz w:val="22"/>
                <w:szCs w:val="22"/>
              </w:rPr>
            </w:pPr>
          </w:p>
        </w:tc>
        <w:tc>
          <w:tcPr>
            <w:tcW w:w="5727" w:type="dxa"/>
            <w:vAlign w:val="bottom"/>
          </w:tcPr>
          <w:p w14:paraId="32C194FC" w14:textId="77777777" w:rsidR="002A7619" w:rsidRPr="00AF4307" w:rsidRDefault="002A7619" w:rsidP="00FB6B48">
            <w:pPr>
              <w:spacing w:after="60"/>
              <w:jc w:val="center"/>
              <w:rPr>
                <w:rFonts w:cstheme="minorHAnsi"/>
                <w:sz w:val="22"/>
                <w:szCs w:val="22"/>
              </w:rPr>
            </w:pPr>
          </w:p>
        </w:tc>
      </w:tr>
      <w:tr w:rsidR="002A7619" w:rsidRPr="002F0DF7" w14:paraId="080D2B63" w14:textId="77777777" w:rsidTr="002A7619">
        <w:trPr>
          <w:trHeight w:val="432"/>
        </w:trPr>
        <w:tc>
          <w:tcPr>
            <w:tcW w:w="1875" w:type="dxa"/>
            <w:vAlign w:val="bottom"/>
          </w:tcPr>
          <w:p w14:paraId="2F616C66" w14:textId="77777777" w:rsidR="002A7619" w:rsidRPr="002F0DF7" w:rsidRDefault="002A7619" w:rsidP="00FB6B48">
            <w:pPr>
              <w:spacing w:after="60"/>
              <w:jc w:val="center"/>
              <w:rPr>
                <w:rFonts w:cstheme="minorHAnsi"/>
                <w:sz w:val="22"/>
                <w:szCs w:val="22"/>
              </w:rPr>
            </w:pPr>
            <w:r w:rsidRPr="002F0DF7">
              <w:rPr>
                <w:rFonts w:cstheme="minorHAnsi"/>
                <w:sz w:val="22"/>
                <w:szCs w:val="22"/>
              </w:rPr>
              <w:t>18</w:t>
            </w:r>
          </w:p>
        </w:tc>
        <w:tc>
          <w:tcPr>
            <w:tcW w:w="1748" w:type="dxa"/>
            <w:vAlign w:val="bottom"/>
          </w:tcPr>
          <w:p w14:paraId="4788492A" w14:textId="77777777" w:rsidR="002A7619" w:rsidRPr="002F0DF7" w:rsidRDefault="002A7619" w:rsidP="00FB6B48">
            <w:pPr>
              <w:spacing w:after="60"/>
              <w:jc w:val="center"/>
              <w:rPr>
                <w:rFonts w:cstheme="minorHAnsi"/>
                <w:sz w:val="22"/>
                <w:szCs w:val="22"/>
              </w:rPr>
            </w:pPr>
          </w:p>
        </w:tc>
        <w:tc>
          <w:tcPr>
            <w:tcW w:w="5727" w:type="dxa"/>
            <w:vAlign w:val="bottom"/>
          </w:tcPr>
          <w:p w14:paraId="526BAE5E" w14:textId="77777777" w:rsidR="002A7619" w:rsidRPr="00AF4307" w:rsidRDefault="002A7619" w:rsidP="00FB6B48">
            <w:pPr>
              <w:spacing w:after="60"/>
              <w:jc w:val="center"/>
              <w:rPr>
                <w:rFonts w:cstheme="minorHAnsi"/>
                <w:sz w:val="22"/>
                <w:szCs w:val="22"/>
              </w:rPr>
            </w:pPr>
          </w:p>
        </w:tc>
      </w:tr>
      <w:tr w:rsidR="002A7619" w:rsidRPr="002F0DF7" w14:paraId="50B88FB0" w14:textId="77777777" w:rsidTr="002A7619">
        <w:trPr>
          <w:trHeight w:val="432"/>
        </w:trPr>
        <w:tc>
          <w:tcPr>
            <w:tcW w:w="1875" w:type="dxa"/>
            <w:vAlign w:val="bottom"/>
          </w:tcPr>
          <w:p w14:paraId="7C462344" w14:textId="77777777" w:rsidR="002A7619" w:rsidRPr="002F0DF7" w:rsidRDefault="002A7619" w:rsidP="00FB6B48">
            <w:pPr>
              <w:spacing w:after="60"/>
              <w:jc w:val="center"/>
              <w:rPr>
                <w:rFonts w:cstheme="minorHAnsi"/>
                <w:sz w:val="22"/>
                <w:szCs w:val="22"/>
              </w:rPr>
            </w:pPr>
            <w:r w:rsidRPr="002F0DF7">
              <w:rPr>
                <w:rFonts w:cstheme="minorHAnsi"/>
                <w:sz w:val="22"/>
                <w:szCs w:val="22"/>
              </w:rPr>
              <w:t>19</w:t>
            </w:r>
          </w:p>
        </w:tc>
        <w:tc>
          <w:tcPr>
            <w:tcW w:w="1748" w:type="dxa"/>
            <w:vAlign w:val="bottom"/>
          </w:tcPr>
          <w:p w14:paraId="29C3F1A6" w14:textId="77777777" w:rsidR="002A7619" w:rsidRPr="002F0DF7" w:rsidRDefault="002A7619" w:rsidP="00FB6B48">
            <w:pPr>
              <w:spacing w:after="60"/>
              <w:jc w:val="center"/>
              <w:rPr>
                <w:rFonts w:cstheme="minorHAnsi"/>
                <w:sz w:val="22"/>
                <w:szCs w:val="22"/>
              </w:rPr>
            </w:pPr>
          </w:p>
        </w:tc>
        <w:tc>
          <w:tcPr>
            <w:tcW w:w="5727" w:type="dxa"/>
            <w:vAlign w:val="bottom"/>
          </w:tcPr>
          <w:p w14:paraId="5D1A3037" w14:textId="77777777" w:rsidR="002A7619" w:rsidRPr="00AF4307" w:rsidRDefault="002A7619" w:rsidP="00FB6B48">
            <w:pPr>
              <w:spacing w:after="60"/>
              <w:jc w:val="center"/>
              <w:rPr>
                <w:rFonts w:cstheme="minorHAnsi"/>
                <w:sz w:val="22"/>
                <w:szCs w:val="22"/>
              </w:rPr>
            </w:pPr>
          </w:p>
        </w:tc>
      </w:tr>
      <w:tr w:rsidR="002A7619" w:rsidRPr="002F0DF7" w14:paraId="10D904E4" w14:textId="77777777" w:rsidTr="002A7619">
        <w:trPr>
          <w:trHeight w:val="432"/>
        </w:trPr>
        <w:tc>
          <w:tcPr>
            <w:tcW w:w="1875" w:type="dxa"/>
            <w:vAlign w:val="bottom"/>
          </w:tcPr>
          <w:p w14:paraId="536D2761" w14:textId="77777777" w:rsidR="002A7619" w:rsidRPr="002F0DF7" w:rsidRDefault="002A7619" w:rsidP="00FB6B48">
            <w:pPr>
              <w:spacing w:after="60"/>
              <w:jc w:val="center"/>
              <w:rPr>
                <w:rFonts w:cstheme="minorHAnsi"/>
                <w:sz w:val="22"/>
                <w:szCs w:val="22"/>
              </w:rPr>
            </w:pPr>
            <w:r w:rsidRPr="002F0DF7">
              <w:rPr>
                <w:rFonts w:cstheme="minorHAnsi"/>
                <w:sz w:val="22"/>
                <w:szCs w:val="22"/>
              </w:rPr>
              <w:t>20</w:t>
            </w:r>
          </w:p>
        </w:tc>
        <w:tc>
          <w:tcPr>
            <w:tcW w:w="1748" w:type="dxa"/>
            <w:vAlign w:val="bottom"/>
          </w:tcPr>
          <w:p w14:paraId="1D8CA947" w14:textId="77777777" w:rsidR="002A7619" w:rsidRPr="002F0DF7" w:rsidRDefault="002A7619" w:rsidP="00FB6B48">
            <w:pPr>
              <w:spacing w:after="60"/>
              <w:jc w:val="center"/>
              <w:rPr>
                <w:rFonts w:cstheme="minorHAnsi"/>
                <w:sz w:val="22"/>
                <w:szCs w:val="22"/>
              </w:rPr>
            </w:pPr>
          </w:p>
        </w:tc>
        <w:tc>
          <w:tcPr>
            <w:tcW w:w="5727" w:type="dxa"/>
            <w:vAlign w:val="bottom"/>
          </w:tcPr>
          <w:p w14:paraId="3846D7FE" w14:textId="77777777" w:rsidR="002A7619" w:rsidRPr="00AF4307" w:rsidRDefault="002A7619" w:rsidP="00FB6B48">
            <w:pPr>
              <w:spacing w:after="60"/>
              <w:jc w:val="center"/>
              <w:rPr>
                <w:rFonts w:cstheme="minorHAnsi"/>
                <w:sz w:val="22"/>
                <w:szCs w:val="22"/>
              </w:rPr>
            </w:pPr>
          </w:p>
        </w:tc>
      </w:tr>
    </w:tbl>
    <w:p w14:paraId="3F6B0CB5" w14:textId="77777777" w:rsidR="002A7619" w:rsidRDefault="002A7619" w:rsidP="002A7619">
      <w:pPr>
        <w:sectPr w:rsidR="002A7619" w:rsidSect="00EF24CC">
          <w:pgSz w:w="12240" w:h="15840"/>
          <w:pgMar w:top="1440" w:right="1440" w:bottom="1152" w:left="1440" w:header="720" w:footer="720" w:gutter="0"/>
          <w:cols w:space="720"/>
          <w:docGrid w:linePitch="360"/>
        </w:sectPr>
      </w:pPr>
    </w:p>
    <w:p w14:paraId="40E5ED47" w14:textId="004CA4F6" w:rsidR="00765286" w:rsidRDefault="001F0A3E" w:rsidP="0024268E">
      <w:pPr>
        <w:pStyle w:val="Heading1"/>
      </w:pPr>
      <w:r>
        <w:lastRenderedPageBreak/>
        <w:t>Executive Summary</w:t>
      </w:r>
    </w:p>
    <w:p w14:paraId="6F1D3580" w14:textId="0D9A8B74" w:rsidR="001F0A3E" w:rsidRDefault="001F0A3E" w:rsidP="00E606EF">
      <w:r>
        <w:t xml:space="preserve">The mission of </w:t>
      </w:r>
      <w:r w:rsidR="00873D7C">
        <w:t>the Safety University (</w:t>
      </w:r>
      <w:proofErr w:type="spellStart"/>
      <w:r w:rsidR="00873D7C">
        <w:t>SafetyU</w:t>
      </w:r>
      <w:proofErr w:type="spellEnd"/>
      <w:r w:rsidR="00873D7C">
        <w:t>)</w:t>
      </w:r>
      <w:r>
        <w:t xml:space="preserve"> Integrated Preparedness Cycle is to provide coordination and oversight in support of programs to ensure safety of workforce members and resilient business processes.  To support this mission, </w:t>
      </w:r>
      <w:proofErr w:type="spellStart"/>
      <w:r w:rsidR="00873D7C">
        <w:t>SafetyU</w:t>
      </w:r>
      <w:proofErr w:type="spellEnd"/>
      <w:r>
        <w:t xml:space="preserve"> must be prepared to continue operations during any type of threat or emergency, and effectively resume business critical processes if they are interrupted.  </w:t>
      </w:r>
      <w:proofErr w:type="spellStart"/>
      <w:r w:rsidR="00873D7C">
        <w:t>SafetyU’s</w:t>
      </w:r>
      <w:proofErr w:type="spellEnd"/>
      <w:r w:rsidR="00873D7C">
        <w:t xml:space="preserve"> </w:t>
      </w:r>
      <w:r>
        <w:t xml:space="preserve">Integrated Preparedness Cycle incorporates a strategy of designing and developing education, training and exercise based on vulnerability assessments and capability requirements, utilizing a building block approach.  This includes reviewing and evaluating real events, exercises, and trainings, to develop future training &amp; exercise plans.  This approach focuses efforts on developing skills along pre-identified needs while building on existing strengths.  This strategy </w:t>
      </w:r>
      <w:r w:rsidR="00192256">
        <w:t>establishes</w:t>
      </w:r>
      <w:r>
        <w:t xml:space="preserve"> documentation and improvement planning to enhance our long-term planning capability. </w:t>
      </w:r>
    </w:p>
    <w:p w14:paraId="471753A1" w14:textId="0F67E9A7" w:rsidR="0024268E" w:rsidRPr="00765286" w:rsidRDefault="001F0A3E" w:rsidP="00E606EF">
      <w:r>
        <w:t xml:space="preserve">Education, </w:t>
      </w:r>
      <w:r w:rsidR="00192256">
        <w:t>training,</w:t>
      </w:r>
      <w:r>
        <w:t xml:space="preserve"> and exercis</w:t>
      </w:r>
      <w:r w:rsidR="00192256">
        <w:t>es</w:t>
      </w:r>
      <w:r>
        <w:t xml:space="preserve"> are provided in a blended approach.  As training and exercise needs are identified,</w:t>
      </w:r>
      <w:r w:rsidR="005D15E8">
        <w:t xml:space="preserve"> </w:t>
      </w:r>
      <w:proofErr w:type="spellStart"/>
      <w:r w:rsidR="005D15E8">
        <w:t>SafetyU</w:t>
      </w:r>
      <w:proofErr w:type="spellEnd"/>
      <w:r>
        <w:t xml:space="preserve"> determines the most appropriate approach for meeting those needs, developing skills, and building program strength.  For training needs, this approach may include online components, instructor-led classes, panel sessions, workshops, seminars, or a combination.  For exercise requirements the approach follows the Homeland Security Exercise and Evaluation Program (HSEEP), some may include various exercise types from discussion-based exercises (seminars, workshops, tabletop exercises (TTX), or games) to operations-based exercises (drills, functional exercise (FE) or full-scale exercise (FSE).</w:t>
      </w:r>
    </w:p>
    <w:p w14:paraId="26EDF68E" w14:textId="4E5C471C" w:rsidR="00192256" w:rsidRDefault="00192256">
      <w:pPr>
        <w:rPr>
          <w:rFonts w:ascii="Calibri" w:eastAsiaTheme="majorEastAsia" w:hAnsi="Calibri" w:cstheme="majorBidi"/>
          <w:b/>
          <w:caps/>
          <w:color w:val="076191"/>
          <w:sz w:val="36"/>
          <w:szCs w:val="32"/>
        </w:rPr>
      </w:pPr>
      <w:r>
        <w:rPr>
          <w:noProof/>
        </w:rPr>
        <w:drawing>
          <wp:inline distT="0" distB="0" distL="0" distR="0" wp14:anchorId="4520D4D7" wp14:editId="2E1DA27F">
            <wp:extent cx="5943600" cy="4269105"/>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4269105"/>
                    </a:xfrm>
                    <a:prstGeom prst="rect">
                      <a:avLst/>
                    </a:prstGeom>
                  </pic:spPr>
                </pic:pic>
              </a:graphicData>
            </a:graphic>
          </wp:inline>
        </w:drawing>
      </w:r>
      <w:r>
        <w:br w:type="page"/>
      </w:r>
    </w:p>
    <w:p w14:paraId="431CA0B1" w14:textId="48E7B458" w:rsidR="0009387C" w:rsidRDefault="0009387C" w:rsidP="002F0DF7">
      <w:pPr>
        <w:pStyle w:val="Heading1"/>
      </w:pPr>
      <w:r>
        <w:lastRenderedPageBreak/>
        <w:t>Integrated Preparedness Planning Team</w:t>
      </w:r>
    </w:p>
    <w:p w14:paraId="007A585A" w14:textId="60CCC834" w:rsidR="00217889" w:rsidRDefault="00873D7C" w:rsidP="00217889">
      <w:r>
        <w:rPr>
          <w:b/>
          <w:bCs/>
          <w:sz w:val="28"/>
          <w:szCs w:val="28"/>
        </w:rPr>
        <w:t>NAME</w:t>
      </w:r>
      <w:r w:rsidR="00217889">
        <w:br/>
      </w:r>
      <w:r>
        <w:t>Job Title</w:t>
      </w:r>
      <w:r w:rsidR="00217889">
        <w:br/>
        <w:t>Department</w:t>
      </w:r>
      <w:r>
        <w:t>/Unit Name</w:t>
      </w:r>
    </w:p>
    <w:p w14:paraId="1D51B1AA" w14:textId="77777777" w:rsidR="00873D7C" w:rsidRDefault="00873D7C" w:rsidP="00873D7C">
      <w:r>
        <w:rPr>
          <w:b/>
          <w:bCs/>
          <w:sz w:val="28"/>
          <w:szCs w:val="28"/>
        </w:rPr>
        <w:t>NAME</w:t>
      </w:r>
      <w:r>
        <w:br/>
        <w:t>Job Title</w:t>
      </w:r>
      <w:r>
        <w:br/>
        <w:t>Department/Unit Name</w:t>
      </w:r>
    </w:p>
    <w:p w14:paraId="2E7733A0" w14:textId="77777777" w:rsidR="00873D7C" w:rsidRDefault="00873D7C" w:rsidP="00873D7C">
      <w:r>
        <w:rPr>
          <w:b/>
          <w:bCs/>
          <w:sz w:val="28"/>
          <w:szCs w:val="28"/>
        </w:rPr>
        <w:t>NAME</w:t>
      </w:r>
      <w:r>
        <w:br/>
        <w:t>Job Title</w:t>
      </w:r>
      <w:r>
        <w:br/>
        <w:t>Department/Unit Name</w:t>
      </w:r>
    </w:p>
    <w:p w14:paraId="1EDCFEE2" w14:textId="77777777" w:rsidR="00873D7C" w:rsidRDefault="00873D7C" w:rsidP="00873D7C">
      <w:r>
        <w:rPr>
          <w:b/>
          <w:bCs/>
          <w:sz w:val="28"/>
          <w:szCs w:val="28"/>
        </w:rPr>
        <w:t>NAME</w:t>
      </w:r>
      <w:r>
        <w:br/>
        <w:t>Job Title</w:t>
      </w:r>
      <w:r>
        <w:br/>
        <w:t>Department/Unit Name</w:t>
      </w:r>
    </w:p>
    <w:p w14:paraId="1F2AF9BF" w14:textId="77777777" w:rsidR="00873D7C" w:rsidRDefault="00873D7C" w:rsidP="00873D7C">
      <w:r>
        <w:rPr>
          <w:b/>
          <w:bCs/>
          <w:sz w:val="28"/>
          <w:szCs w:val="28"/>
        </w:rPr>
        <w:t>NAME</w:t>
      </w:r>
      <w:r>
        <w:br/>
        <w:t>Job Title</w:t>
      </w:r>
      <w:r>
        <w:br/>
        <w:t>Department/Unit Name</w:t>
      </w:r>
    </w:p>
    <w:p w14:paraId="4EBBDF77" w14:textId="77777777" w:rsidR="00873D7C" w:rsidRDefault="00873D7C" w:rsidP="00873D7C">
      <w:r>
        <w:rPr>
          <w:b/>
          <w:bCs/>
          <w:sz w:val="28"/>
          <w:szCs w:val="28"/>
        </w:rPr>
        <w:t>NAME</w:t>
      </w:r>
      <w:r>
        <w:br/>
        <w:t>Job Title</w:t>
      </w:r>
      <w:r>
        <w:br/>
        <w:t>Department/Unit Name</w:t>
      </w:r>
    </w:p>
    <w:p w14:paraId="1878B239" w14:textId="77777777" w:rsidR="00873D7C" w:rsidRDefault="00873D7C" w:rsidP="00873D7C">
      <w:r>
        <w:rPr>
          <w:b/>
          <w:bCs/>
          <w:sz w:val="28"/>
          <w:szCs w:val="28"/>
        </w:rPr>
        <w:t>NAME</w:t>
      </w:r>
      <w:r>
        <w:br/>
        <w:t>Job Title</w:t>
      </w:r>
      <w:r>
        <w:br/>
        <w:t>Department/Unit Name</w:t>
      </w:r>
    </w:p>
    <w:p w14:paraId="7733F222" w14:textId="77777777" w:rsidR="00873D7C" w:rsidRDefault="00873D7C" w:rsidP="00217889"/>
    <w:p w14:paraId="45B565DF" w14:textId="77777777" w:rsidR="006551C8" w:rsidRDefault="006551C8">
      <w:pPr>
        <w:rPr>
          <w:rFonts w:ascii="Calibri" w:eastAsiaTheme="majorEastAsia" w:hAnsi="Calibri" w:cstheme="majorBidi"/>
          <w:b/>
          <w:caps/>
          <w:color w:val="076191"/>
          <w:sz w:val="36"/>
          <w:szCs w:val="32"/>
        </w:rPr>
      </w:pPr>
      <w:r>
        <w:br w:type="page"/>
      </w:r>
    </w:p>
    <w:p w14:paraId="2EC6795E" w14:textId="0E96AE9D" w:rsidR="008B196F" w:rsidRDefault="00192256" w:rsidP="002F0DF7">
      <w:pPr>
        <w:pStyle w:val="Heading1"/>
      </w:pPr>
      <w:r>
        <w:lastRenderedPageBreak/>
        <w:t>Purpose</w:t>
      </w:r>
    </w:p>
    <w:p w14:paraId="0A1D2FC5" w14:textId="6E58AC32" w:rsidR="00124682" w:rsidRDefault="00124682" w:rsidP="00E606EF">
      <w:r>
        <w:t xml:space="preserve">The </w:t>
      </w:r>
      <w:proofErr w:type="spellStart"/>
      <w:r w:rsidR="00873D7C">
        <w:t>SafetyU</w:t>
      </w:r>
      <w:proofErr w:type="spellEnd"/>
      <w:r>
        <w:t xml:space="preserve"> Integrated Preparedness Plan (IPP) contains preparedness priorities, outlining steps designed to build and sustain capabilities while tailoring them to the </w:t>
      </w:r>
      <w:r w:rsidR="00873D7C">
        <w:t>company</w:t>
      </w:r>
      <w:r>
        <w:t xml:space="preserve">’s unique needs. The plan provides </w:t>
      </w:r>
      <w:proofErr w:type="spellStart"/>
      <w:r w:rsidR="00873D7C">
        <w:t>SafetyU</w:t>
      </w:r>
      <w:proofErr w:type="spellEnd"/>
      <w:r>
        <w:t xml:space="preserve"> with direction, accountability, and coordination. </w:t>
      </w:r>
      <w:r w:rsidR="00873D7C">
        <w:t>Safety University</w:t>
      </w:r>
      <w:r w:rsidR="006551C8">
        <w:t xml:space="preserve"> Business Continuity Department </w:t>
      </w:r>
      <w:r>
        <w:t xml:space="preserve">administers the IPP under </w:t>
      </w:r>
      <w:r w:rsidR="006551C8">
        <w:t>delegated authority</w:t>
      </w:r>
      <w:r>
        <w:t xml:space="preserve"> </w:t>
      </w:r>
      <w:r w:rsidR="006551C8">
        <w:t>of the Board of Directors and Chief Executive Officer</w:t>
      </w:r>
      <w:r>
        <w:t xml:space="preserve">. All </w:t>
      </w:r>
      <w:r w:rsidR="00873D7C">
        <w:t>Safety University</w:t>
      </w:r>
      <w:r w:rsidR="006551C8">
        <w:t xml:space="preserve"> Departments</w:t>
      </w:r>
      <w:r>
        <w:t xml:space="preserve"> follow the IPP. </w:t>
      </w:r>
    </w:p>
    <w:p w14:paraId="1CBE6153" w14:textId="6E1A773C" w:rsidR="00124682" w:rsidRDefault="00124682" w:rsidP="00E606EF">
      <w:r>
        <w:t xml:space="preserve">This IPP lays out </w:t>
      </w:r>
      <w:r w:rsidR="007407D0">
        <w:t xml:space="preserve">the </w:t>
      </w:r>
      <w:r w:rsidR="00873D7C">
        <w:t>company</w:t>
      </w:r>
      <w:r w:rsidR="006551C8">
        <w:t>’s</w:t>
      </w:r>
      <w:r>
        <w:t xml:space="preserve"> threats, hazards, and risks along with other internal and external factors which influence the preparedness priorities for </w:t>
      </w:r>
      <w:r w:rsidR="006551C8">
        <w:t xml:space="preserve">calendar </w:t>
      </w:r>
      <w:r w:rsidR="006551C8" w:rsidRPr="00660101">
        <w:t>year</w:t>
      </w:r>
      <w:r w:rsidRPr="00660101">
        <w:t xml:space="preserve"> 202</w:t>
      </w:r>
      <w:r w:rsidR="00873D7C">
        <w:t>X</w:t>
      </w:r>
      <w:r w:rsidRPr="00660101">
        <w:t>-202</w:t>
      </w:r>
      <w:r w:rsidR="00873D7C">
        <w:t>X</w:t>
      </w:r>
      <w:r w:rsidRPr="00660101">
        <w:t>. The</w:t>
      </w:r>
      <w:r>
        <w:t xml:space="preserve"> preparedness priorities, corresponding capabilities, and rationale are included in the IPP with multi-year calendars outlining all preparedness activities.</w:t>
      </w:r>
    </w:p>
    <w:p w14:paraId="0784349A" w14:textId="664A7BD2" w:rsidR="00124682" w:rsidRDefault="00124682" w:rsidP="00E606EF">
      <w:pPr>
        <w:spacing w:after="0"/>
      </w:pPr>
      <w:r>
        <w:t xml:space="preserve">The </w:t>
      </w:r>
      <w:r w:rsidR="00873D7C">
        <w:t>Safety University</w:t>
      </w:r>
      <w:r>
        <w:t xml:space="preserve"> IPP is designed to be a living document that will be updated and refined </w:t>
      </w:r>
      <w:r w:rsidR="006551C8">
        <w:t xml:space="preserve">at least </w:t>
      </w:r>
      <w:r>
        <w:t xml:space="preserve">annually or as needed to inform the continuous improvement of </w:t>
      </w:r>
      <w:r w:rsidR="006551C8">
        <w:t xml:space="preserve">the </w:t>
      </w:r>
      <w:r w:rsidR="00873D7C">
        <w:t>company’</w:t>
      </w:r>
      <w:r>
        <w:t>s ability to build, sustain, and deliver capabilities.</w:t>
      </w:r>
    </w:p>
    <w:p w14:paraId="40470D42" w14:textId="33F1A168" w:rsidR="0009387C" w:rsidRDefault="00351CDB" w:rsidP="0009387C">
      <w:pPr>
        <w:pStyle w:val="Heading1"/>
      </w:pPr>
      <w:r>
        <w:t>pREPAREDNESS aCTIVITY cONSIDERATIONS</w:t>
      </w:r>
    </w:p>
    <w:p w14:paraId="57C9DC49" w14:textId="5BBC0BD6" w:rsidR="00351CDB" w:rsidRDefault="00351CDB" w:rsidP="00E606EF">
      <w:r w:rsidRPr="00351CDB">
        <w:t xml:space="preserve">The </w:t>
      </w:r>
      <w:proofErr w:type="spellStart"/>
      <w:r w:rsidR="00873D7C">
        <w:t>SafetyU</w:t>
      </w:r>
      <w:proofErr w:type="spellEnd"/>
      <w:r w:rsidR="00873D7C">
        <w:t xml:space="preserve"> </w:t>
      </w:r>
      <w:r w:rsidRPr="00351CDB">
        <w:t xml:space="preserve">Integrated Preparedness Plan (IPP) is a foundational document to guide successful preparedness activities related </w:t>
      </w:r>
      <w:r w:rsidR="00DC2EF4">
        <w:t xml:space="preserve">to </w:t>
      </w:r>
      <w:r>
        <w:t xml:space="preserve">the </w:t>
      </w:r>
      <w:r w:rsidR="0028596E">
        <w:t>company</w:t>
      </w:r>
      <w:r>
        <w:t xml:space="preserve">’s </w:t>
      </w:r>
      <w:r w:rsidRPr="00351CDB">
        <w:t xml:space="preserve">capabilities for responding to, recovering from, and mitigating the effects of the threats, hazards, and risks deemed the most applicable to the area. The IPP establishes priorities and goals that will guide the </w:t>
      </w:r>
      <w:r w:rsidR="0028596E">
        <w:t>company</w:t>
      </w:r>
      <w:r>
        <w:t>’s</w:t>
      </w:r>
      <w:r w:rsidRPr="00351CDB">
        <w:t xml:space="preserve"> efforts to build, improve, and sustain capabilities across a broad range of </w:t>
      </w:r>
      <w:r>
        <w:t xml:space="preserve">FEMA </w:t>
      </w:r>
      <w:hyperlink r:id="rId12" w:history="1">
        <w:r w:rsidRPr="00351CDB">
          <w:rPr>
            <w:rStyle w:val="Hyperlink"/>
          </w:rPr>
          <w:t>mission areas</w:t>
        </w:r>
      </w:hyperlink>
      <w:r w:rsidRPr="00351CDB">
        <w:t>.</w:t>
      </w:r>
    </w:p>
    <w:p w14:paraId="2DE60645" w14:textId="2217497F" w:rsidR="00351CDB" w:rsidRDefault="00351CDB" w:rsidP="00E606EF">
      <w:pPr>
        <w:pStyle w:val="Heading2"/>
      </w:pPr>
      <w:r>
        <w:t>Threats, Hazards, and Risks</w:t>
      </w:r>
    </w:p>
    <w:p w14:paraId="2DEB10BD" w14:textId="787D5730" w:rsidR="00351CDB" w:rsidRDefault="0028596E" w:rsidP="00E606EF">
      <w:r>
        <w:t>Safety University</w:t>
      </w:r>
      <w:r w:rsidR="00351CDB">
        <w:t xml:space="preserve"> utilizes the Hazard Vulnerability Analysis (HVA) process to identify the most likely hazards that may affect the </w:t>
      </w:r>
      <w:r>
        <w:t>company</w:t>
      </w:r>
      <w:r w:rsidR="00351CDB">
        <w:t xml:space="preserve">. These are by no means the only possible incidents that could </w:t>
      </w:r>
      <w:r w:rsidR="00B6216B">
        <w:t xml:space="preserve">impact the </w:t>
      </w:r>
      <w:r>
        <w:t>company</w:t>
      </w:r>
      <w:r w:rsidR="00351CDB">
        <w:t xml:space="preserve">. Modifications are made to the </w:t>
      </w:r>
      <w:r w:rsidR="00B6216B">
        <w:t>HVA</w:t>
      </w:r>
      <w:r w:rsidR="00351CDB">
        <w:t xml:space="preserve"> based on a continued assessment of risks </w:t>
      </w:r>
      <w:r>
        <w:t>company</w:t>
      </w:r>
      <w:r w:rsidR="00B6216B">
        <w:t xml:space="preserve"> wide</w:t>
      </w:r>
      <w:r w:rsidR="00351CDB">
        <w:t xml:space="preserve">. A specific threat analysis review occurs </w:t>
      </w:r>
      <w:r w:rsidR="00B6216B">
        <w:t>at least every two (2) years</w:t>
      </w:r>
      <w:r w:rsidR="00351CDB">
        <w:t>. Some hazardous events occur on a</w:t>
      </w:r>
      <w:r w:rsidR="00B6216B">
        <w:t xml:space="preserve"> near </w:t>
      </w:r>
      <w:r w:rsidR="00351CDB">
        <w:t xml:space="preserve">annual basis; others may not occur within a lifetime. Additionally, not every hazardous event occurs with notable damage or loss of life. For this reason, hazards are assessed by comparing the experienced frequency of the event versus the potential impact that may result. Planning begins with events that are expected to challenge current </w:t>
      </w:r>
      <w:r>
        <w:t>company</w:t>
      </w:r>
      <w:r w:rsidR="00351CDB">
        <w:t xml:space="preserve"> capabilities the most, while also </w:t>
      </w:r>
      <w:proofErr w:type="gramStart"/>
      <w:r w:rsidR="00351CDB">
        <w:t>taking into account</w:t>
      </w:r>
      <w:proofErr w:type="gramEnd"/>
      <w:r w:rsidR="00351CDB">
        <w:t xml:space="preserve"> those that occur often and have potentially high impacts on life and property, followed by those with more moderate probabilities or moderate impacts.</w:t>
      </w:r>
    </w:p>
    <w:p w14:paraId="2DEDFB4D" w14:textId="1C3D6462" w:rsidR="00351CDB" w:rsidRDefault="00351CDB" w:rsidP="00E606EF">
      <w:r>
        <w:t>In 2</w:t>
      </w:r>
      <w:r w:rsidR="00B6216B">
        <w:t>02</w:t>
      </w:r>
      <w:r w:rsidR="0028596E">
        <w:t>X</w:t>
      </w:r>
      <w:r>
        <w:t xml:space="preserve">, </w:t>
      </w:r>
      <w:r w:rsidR="00DC2EF4">
        <w:t xml:space="preserve">the </w:t>
      </w:r>
      <w:r w:rsidR="0028596E">
        <w:t xml:space="preserve">company </w:t>
      </w:r>
      <w:r>
        <w:t xml:space="preserve">carried out a </w:t>
      </w:r>
      <w:r w:rsidR="00B6216B">
        <w:t>Hazard Vulnerability Analysis (HVA)</w:t>
      </w:r>
      <w:r>
        <w:t xml:space="preserve"> to examine:</w:t>
      </w:r>
    </w:p>
    <w:p w14:paraId="1DCE8E3E" w14:textId="2927A415" w:rsidR="00351CDB" w:rsidRDefault="00351CDB" w:rsidP="00E606EF">
      <w:pPr>
        <w:pStyle w:val="ListParagraph"/>
        <w:numPr>
          <w:ilvl w:val="0"/>
          <w:numId w:val="14"/>
        </w:numPr>
      </w:pPr>
      <w:r>
        <w:t xml:space="preserve">What threats and hazards can affect </w:t>
      </w:r>
      <w:r w:rsidR="00B6216B">
        <w:t xml:space="preserve">the </w:t>
      </w:r>
      <w:r w:rsidR="0028596E">
        <w:t>company</w:t>
      </w:r>
      <w:r>
        <w:t>?</w:t>
      </w:r>
    </w:p>
    <w:p w14:paraId="1833AF20" w14:textId="1C61D58A" w:rsidR="00351CDB" w:rsidRDefault="00351CDB" w:rsidP="00E606EF">
      <w:pPr>
        <w:pStyle w:val="ListParagraph"/>
        <w:numPr>
          <w:ilvl w:val="0"/>
          <w:numId w:val="14"/>
        </w:numPr>
      </w:pPr>
      <w:r>
        <w:t xml:space="preserve">What the impacts of those threats and hazards would be on </w:t>
      </w:r>
      <w:r w:rsidR="00B6216B">
        <w:t xml:space="preserve">the </w:t>
      </w:r>
      <w:r w:rsidR="0028596E">
        <w:t>company</w:t>
      </w:r>
      <w:r>
        <w:t>?</w:t>
      </w:r>
    </w:p>
    <w:p w14:paraId="11D226DC" w14:textId="3EB58944" w:rsidR="00351CDB" w:rsidRDefault="00351CDB" w:rsidP="00E606EF">
      <w:pPr>
        <w:pStyle w:val="ListParagraph"/>
        <w:numPr>
          <w:ilvl w:val="0"/>
          <w:numId w:val="14"/>
        </w:numPr>
      </w:pPr>
      <w:r>
        <w:t xml:space="preserve">What capabilities should </w:t>
      </w:r>
      <w:r w:rsidR="00B6216B">
        <w:t xml:space="preserve">the </w:t>
      </w:r>
      <w:r w:rsidR="0028596E">
        <w:t>company</w:t>
      </w:r>
      <w:r>
        <w:t xml:space="preserve"> have based on those impacts?</w:t>
      </w:r>
    </w:p>
    <w:p w14:paraId="46297D4B" w14:textId="313EE835" w:rsidR="00351CDB" w:rsidRDefault="00351CDB" w:rsidP="00E606EF">
      <w:pPr>
        <w:pStyle w:val="ListParagraph"/>
        <w:numPr>
          <w:ilvl w:val="0"/>
          <w:numId w:val="14"/>
        </w:numPr>
      </w:pPr>
      <w:r>
        <w:t>What capabilities are needed?</w:t>
      </w:r>
    </w:p>
    <w:p w14:paraId="40B88900" w14:textId="49DA7082" w:rsidR="00351CDB" w:rsidRDefault="00351CDB" w:rsidP="00E606EF">
      <w:r>
        <w:t xml:space="preserve">The threats, hazards, and risks identified in this process for </w:t>
      </w:r>
      <w:r w:rsidR="00E606EF">
        <w:t xml:space="preserve">the </w:t>
      </w:r>
      <w:r w:rsidR="0028596E">
        <w:t>company</w:t>
      </w:r>
      <w:r>
        <w:t xml:space="preserve"> as having the greatest impact or challenging capabilities the most are:</w:t>
      </w:r>
    </w:p>
    <w:p w14:paraId="162A438A" w14:textId="1DF2331B" w:rsidR="00351CDB" w:rsidRPr="0028596E" w:rsidRDefault="00416F25" w:rsidP="00E606EF">
      <w:pPr>
        <w:pStyle w:val="ListParagraph"/>
        <w:numPr>
          <w:ilvl w:val="0"/>
          <w:numId w:val="15"/>
        </w:numPr>
        <w:rPr>
          <w:highlight w:val="yellow"/>
        </w:rPr>
      </w:pPr>
      <w:r w:rsidRPr="0028596E">
        <w:rPr>
          <w:highlight w:val="yellow"/>
        </w:rPr>
        <w:t>Information Technology Failure</w:t>
      </w:r>
    </w:p>
    <w:p w14:paraId="48D27D13" w14:textId="03412BD6" w:rsidR="00416F25" w:rsidRPr="0028596E" w:rsidRDefault="00FC3120" w:rsidP="00E606EF">
      <w:pPr>
        <w:pStyle w:val="ListParagraph"/>
        <w:numPr>
          <w:ilvl w:val="0"/>
          <w:numId w:val="15"/>
        </w:numPr>
        <w:rPr>
          <w:highlight w:val="yellow"/>
        </w:rPr>
      </w:pPr>
      <w:r>
        <w:rPr>
          <w:highlight w:val="yellow"/>
        </w:rPr>
        <w:t>Active Shooter</w:t>
      </w:r>
    </w:p>
    <w:p w14:paraId="7C253CA3" w14:textId="6439F470" w:rsidR="00416F25" w:rsidRPr="0028596E" w:rsidRDefault="0028596E" w:rsidP="00E606EF">
      <w:pPr>
        <w:pStyle w:val="ListParagraph"/>
        <w:numPr>
          <w:ilvl w:val="0"/>
          <w:numId w:val="15"/>
        </w:numPr>
        <w:rPr>
          <w:highlight w:val="yellow"/>
        </w:rPr>
      </w:pPr>
      <w:r>
        <w:rPr>
          <w:highlight w:val="yellow"/>
        </w:rPr>
        <w:t>Pandemic/Epidemic Impact</w:t>
      </w:r>
    </w:p>
    <w:p w14:paraId="72A75CBD" w14:textId="3AC83669" w:rsidR="00416F25" w:rsidRPr="0028596E" w:rsidRDefault="00416F25" w:rsidP="00E606EF">
      <w:pPr>
        <w:pStyle w:val="ListParagraph"/>
        <w:numPr>
          <w:ilvl w:val="0"/>
          <w:numId w:val="15"/>
        </w:numPr>
        <w:rPr>
          <w:highlight w:val="yellow"/>
        </w:rPr>
      </w:pPr>
      <w:r w:rsidRPr="0028596E">
        <w:rPr>
          <w:highlight w:val="yellow"/>
        </w:rPr>
        <w:t>Cyber Attack</w:t>
      </w:r>
      <w:r w:rsidR="00FC3120">
        <w:rPr>
          <w:highlight w:val="yellow"/>
        </w:rPr>
        <w:t>/Ransomware</w:t>
      </w:r>
    </w:p>
    <w:p w14:paraId="2EAC1DEE" w14:textId="375799B8" w:rsidR="00416F25" w:rsidRPr="0028596E" w:rsidRDefault="00FC3120" w:rsidP="00E606EF">
      <w:pPr>
        <w:pStyle w:val="ListParagraph"/>
        <w:numPr>
          <w:ilvl w:val="0"/>
          <w:numId w:val="15"/>
        </w:numPr>
        <w:rPr>
          <w:highlight w:val="yellow"/>
        </w:rPr>
      </w:pPr>
      <w:r>
        <w:rPr>
          <w:highlight w:val="yellow"/>
        </w:rPr>
        <w:t>Fire</w:t>
      </w:r>
    </w:p>
    <w:p w14:paraId="5C2FBA11" w14:textId="12CCF205" w:rsidR="007A4CEE" w:rsidRDefault="00650CD7" w:rsidP="00650CD7">
      <w:pPr>
        <w:pStyle w:val="Heading2"/>
      </w:pPr>
      <w:r>
        <w:lastRenderedPageBreak/>
        <w:t>Capability Assessments, Corrective Actions, and Improvement Plans</w:t>
      </w:r>
    </w:p>
    <w:p w14:paraId="03F97014" w14:textId="19F18F05" w:rsidR="00650CD7" w:rsidRDefault="00650CD7" w:rsidP="00650CD7">
      <w:r>
        <w:t>Utilizing the 202</w:t>
      </w:r>
      <w:r w:rsidR="00C047DC">
        <w:t>X</w:t>
      </w:r>
      <w:r>
        <w:t xml:space="preserve"> HVA results, the </w:t>
      </w:r>
      <w:r w:rsidR="00C047DC">
        <w:t>company</w:t>
      </w:r>
      <w:r>
        <w:t xml:space="preserve"> then performed a capabilities assessment to assess current capabilities against HVA targets. Results from the </w:t>
      </w:r>
      <w:r w:rsidR="00E8028B">
        <w:t>Integrated Preparedness Plan Workshop (IPPW)</w:t>
      </w:r>
      <w:r>
        <w:t xml:space="preserve"> identified key gaps for the following </w:t>
      </w:r>
      <w:r w:rsidR="00A664F7">
        <w:t xml:space="preserve">FEMA </w:t>
      </w:r>
      <w:hyperlink r:id="rId13" w:history="1">
        <w:r w:rsidR="00A664F7" w:rsidRPr="00A664F7">
          <w:rPr>
            <w:rStyle w:val="Hyperlink"/>
          </w:rPr>
          <w:t xml:space="preserve">core </w:t>
        </w:r>
        <w:r w:rsidRPr="00A664F7">
          <w:rPr>
            <w:rStyle w:val="Hyperlink"/>
          </w:rPr>
          <w:t>capabilities</w:t>
        </w:r>
      </w:hyperlink>
      <w:r>
        <w:t>:</w:t>
      </w:r>
    </w:p>
    <w:p w14:paraId="313F5A50" w14:textId="77777777" w:rsidR="00DC6C1B" w:rsidRPr="00F75B28" w:rsidRDefault="00DC6C1B" w:rsidP="00650CD7">
      <w:pPr>
        <w:pStyle w:val="ListParagraph"/>
        <w:numPr>
          <w:ilvl w:val="0"/>
          <w:numId w:val="16"/>
        </w:numPr>
      </w:pPr>
      <w:r w:rsidRPr="00F75B28">
        <w:t>Operational Coordination</w:t>
      </w:r>
    </w:p>
    <w:p w14:paraId="587C8635" w14:textId="08200CC2" w:rsidR="00F75B28" w:rsidRPr="00F75B28" w:rsidRDefault="00DC6C1B" w:rsidP="00F75B28">
      <w:pPr>
        <w:pStyle w:val="ListParagraph"/>
        <w:numPr>
          <w:ilvl w:val="0"/>
          <w:numId w:val="16"/>
        </w:numPr>
      </w:pPr>
      <w:r w:rsidRPr="00F75B28">
        <w:t>Cybersecurity</w:t>
      </w:r>
      <w:r w:rsidR="00F75B28" w:rsidRPr="00F75B28">
        <w:t>, and</w:t>
      </w:r>
    </w:p>
    <w:p w14:paraId="50961CEE" w14:textId="39C28C16" w:rsidR="00F75B28" w:rsidRPr="00F75B28" w:rsidRDefault="00F75B28" w:rsidP="00F75B28">
      <w:pPr>
        <w:pStyle w:val="ListParagraph"/>
        <w:numPr>
          <w:ilvl w:val="0"/>
          <w:numId w:val="16"/>
        </w:numPr>
      </w:pPr>
      <w:r w:rsidRPr="00F75B28">
        <w:t>Physical Protective Measures</w:t>
      </w:r>
    </w:p>
    <w:p w14:paraId="45E1771B" w14:textId="64F3435A" w:rsidR="00650CD7" w:rsidRDefault="00650CD7" w:rsidP="00650CD7">
      <w:r>
        <w:t xml:space="preserve">Additionally, </w:t>
      </w:r>
      <w:r w:rsidR="00E8028B">
        <w:t>a gap of capability knowledge was identified for</w:t>
      </w:r>
      <w:r>
        <w:t>:</w:t>
      </w:r>
    </w:p>
    <w:p w14:paraId="75A328BD" w14:textId="334DBA4D" w:rsidR="00650CD7" w:rsidRPr="00660101" w:rsidRDefault="00CA1F77" w:rsidP="00650CD7">
      <w:pPr>
        <w:pStyle w:val="ListParagraph"/>
        <w:numPr>
          <w:ilvl w:val="0"/>
          <w:numId w:val="17"/>
        </w:numPr>
      </w:pPr>
      <w:r w:rsidRPr="00660101">
        <w:t>Incident Command System</w:t>
      </w:r>
      <w:r w:rsidR="00650CD7" w:rsidRPr="00660101">
        <w:t>, and</w:t>
      </w:r>
    </w:p>
    <w:p w14:paraId="0F5EC403" w14:textId="4CB36457" w:rsidR="00650CD7" w:rsidRPr="00660101" w:rsidRDefault="00650CD7" w:rsidP="00650CD7">
      <w:pPr>
        <w:pStyle w:val="ListParagraph"/>
        <w:numPr>
          <w:ilvl w:val="0"/>
          <w:numId w:val="17"/>
        </w:numPr>
      </w:pPr>
      <w:r w:rsidRPr="00660101">
        <w:t>Cybersecurity.</w:t>
      </w:r>
    </w:p>
    <w:p w14:paraId="4192698D" w14:textId="2C609B95" w:rsidR="00650CD7" w:rsidRPr="00057DD0" w:rsidRDefault="00650CD7" w:rsidP="00650CD7">
      <w:r>
        <w:t>During the 20</w:t>
      </w:r>
      <w:r w:rsidR="001E2ED0">
        <w:t>2</w:t>
      </w:r>
      <w:r w:rsidR="00C047DC">
        <w:t>X</w:t>
      </w:r>
      <w:r w:rsidR="001E2ED0">
        <w:t xml:space="preserve"> Cyberattack</w:t>
      </w:r>
      <w:r>
        <w:t xml:space="preserve"> After-Action Re</w:t>
      </w:r>
      <w:r w:rsidR="001E2ED0">
        <w:t>port</w:t>
      </w:r>
      <w:r>
        <w:t xml:space="preserve"> (AAR)</w:t>
      </w:r>
      <w:r w:rsidR="00062DC3">
        <w:t>,</w:t>
      </w:r>
      <w:r>
        <w:t xml:space="preserve"> it was identified that the </w:t>
      </w:r>
      <w:r w:rsidRPr="00057DD0">
        <w:t xml:space="preserve">following </w:t>
      </w:r>
      <w:r w:rsidR="00C047DC">
        <w:t xml:space="preserve">company </w:t>
      </w:r>
      <w:r w:rsidRPr="00057DD0">
        <w:t xml:space="preserve">capabilities related to this event </w:t>
      </w:r>
      <w:r w:rsidR="00057DD0" w:rsidRPr="00057DD0">
        <w:t>revealed opportunities for improvement</w:t>
      </w:r>
      <w:r w:rsidRPr="00057DD0">
        <w:t>:</w:t>
      </w:r>
    </w:p>
    <w:p w14:paraId="28E8247C" w14:textId="0A9CC125" w:rsidR="00650CD7" w:rsidRPr="00057DD0" w:rsidRDefault="00650CD7" w:rsidP="00650CD7">
      <w:pPr>
        <w:pStyle w:val="ListParagraph"/>
        <w:numPr>
          <w:ilvl w:val="0"/>
          <w:numId w:val="18"/>
        </w:numPr>
      </w:pPr>
      <w:r w:rsidRPr="00057DD0">
        <w:t>Public Information and Warning,</w:t>
      </w:r>
    </w:p>
    <w:p w14:paraId="6CCC6FDA" w14:textId="32BDAD41" w:rsidR="00650CD7" w:rsidRPr="00057DD0" w:rsidRDefault="00650CD7" w:rsidP="00650CD7">
      <w:pPr>
        <w:pStyle w:val="ListParagraph"/>
        <w:numPr>
          <w:ilvl w:val="0"/>
          <w:numId w:val="18"/>
        </w:numPr>
      </w:pPr>
      <w:r w:rsidRPr="00057DD0">
        <w:t>Critical Transportation,</w:t>
      </w:r>
    </w:p>
    <w:p w14:paraId="79EBF0FB" w14:textId="3D1E3DF0" w:rsidR="00650CD7" w:rsidRPr="00057DD0" w:rsidRDefault="00650CD7" w:rsidP="00650CD7">
      <w:pPr>
        <w:pStyle w:val="ListParagraph"/>
        <w:numPr>
          <w:ilvl w:val="0"/>
          <w:numId w:val="18"/>
        </w:numPr>
      </w:pPr>
      <w:r w:rsidRPr="00057DD0">
        <w:t>Mass Care Services, and</w:t>
      </w:r>
    </w:p>
    <w:p w14:paraId="6B88D7E0" w14:textId="0BCAC4E9" w:rsidR="00650CD7" w:rsidRPr="00057DD0" w:rsidRDefault="00650CD7" w:rsidP="00650CD7">
      <w:pPr>
        <w:pStyle w:val="ListParagraph"/>
        <w:numPr>
          <w:ilvl w:val="0"/>
          <w:numId w:val="18"/>
        </w:numPr>
      </w:pPr>
      <w:r w:rsidRPr="00057DD0">
        <w:t>Operational Communication.</w:t>
      </w:r>
    </w:p>
    <w:p w14:paraId="5B6D6981" w14:textId="7E7D0CEF" w:rsidR="00650CD7" w:rsidRDefault="00650CD7" w:rsidP="00650CD7">
      <w:r>
        <w:t xml:space="preserve">As such, an Improvement Plan from </w:t>
      </w:r>
      <w:r w:rsidR="001E2ED0">
        <w:t xml:space="preserve">Cyberattack exercise </w:t>
      </w:r>
      <w:r>
        <w:t xml:space="preserve">was developed and corrective actions were identified, assigned, and implemented across all elements of the Integrated Preparedness Cycle. </w:t>
      </w:r>
    </w:p>
    <w:p w14:paraId="68FC057A" w14:textId="7EEB55B1" w:rsidR="00F5663C" w:rsidRDefault="00F5663C" w:rsidP="00F5663C">
      <w:pPr>
        <w:pStyle w:val="Heading2"/>
      </w:pPr>
      <w:r>
        <w:t>Standards</w:t>
      </w:r>
      <w:r w:rsidR="001128FE">
        <w:t>, Guidelines,</w:t>
      </w:r>
      <w:r>
        <w:t xml:space="preserve"> and Regulations</w:t>
      </w:r>
    </w:p>
    <w:p w14:paraId="1A26FF1B" w14:textId="2878F31B" w:rsidR="00F5663C" w:rsidRDefault="00C047DC" w:rsidP="00F5663C">
      <w:r>
        <w:t>Safety University</w:t>
      </w:r>
      <w:r w:rsidR="00497A45">
        <w:t xml:space="preserve"> aligns resiliency plans and programs with</w:t>
      </w:r>
      <w:r w:rsidR="00497A45" w:rsidRPr="00497A45">
        <w:rPr>
          <w:rFonts w:cstheme="minorHAnsi"/>
        </w:rPr>
        <w:t xml:space="preserve"> </w:t>
      </w:r>
      <w:r w:rsidR="00497A45" w:rsidRPr="001F251E">
        <w:rPr>
          <w:rFonts w:cstheme="minorHAnsi"/>
        </w:rPr>
        <w:t xml:space="preserve">the U.S. National </w:t>
      </w:r>
      <w:r w:rsidR="00497A45">
        <w:rPr>
          <w:rFonts w:cstheme="minorHAnsi"/>
        </w:rPr>
        <w:t xml:space="preserve">Incident Management System (NIMS), </w:t>
      </w:r>
      <w:r w:rsidR="00497A45" w:rsidRPr="00E44E13">
        <w:t>ISO 22301:2019 Security and resilience — Business continuity management systems — Requirements</w:t>
      </w:r>
      <w:r w:rsidR="00497A45">
        <w:t>, NFPA 1600 – Standard on Continuity, Emergency, and Crisis Management</w:t>
      </w:r>
      <w:r w:rsidR="00497A45">
        <w:rPr>
          <w:rFonts w:cstheme="minorHAnsi"/>
        </w:rPr>
        <w:t>,</w:t>
      </w:r>
      <w:r w:rsidR="00497A45" w:rsidRPr="001F251E">
        <w:rPr>
          <w:rFonts w:cstheme="minorHAnsi"/>
        </w:rPr>
        <w:t xml:space="preserve"> applicable State</w:t>
      </w:r>
      <w:r w:rsidR="00497A45">
        <w:rPr>
          <w:rFonts w:cstheme="minorHAnsi"/>
        </w:rPr>
        <w:t>/Local</w:t>
      </w:r>
      <w:r w:rsidR="00497A45" w:rsidRPr="001F251E">
        <w:rPr>
          <w:rFonts w:cstheme="minorHAnsi"/>
        </w:rPr>
        <w:t xml:space="preserve"> Emergency Operations Plan(s)</w:t>
      </w:r>
      <w:r w:rsidR="00F5663C">
        <w:t>.</w:t>
      </w:r>
    </w:p>
    <w:p w14:paraId="3F94999A" w14:textId="77777777" w:rsidR="00D77775" w:rsidRDefault="00D77775">
      <w:pPr>
        <w:spacing w:after="160" w:line="259" w:lineRule="auto"/>
        <w:rPr>
          <w:rFonts w:ascii="Calibri" w:eastAsiaTheme="majorEastAsia" w:hAnsi="Calibri" w:cstheme="majorBidi"/>
          <w:b/>
          <w:caps/>
          <w:color w:val="076191"/>
          <w:sz w:val="36"/>
          <w:szCs w:val="32"/>
        </w:rPr>
      </w:pPr>
      <w:r>
        <w:br w:type="page"/>
      </w:r>
    </w:p>
    <w:p w14:paraId="4B87D8F5" w14:textId="42D57C7E" w:rsidR="00D77775" w:rsidRDefault="00D77775" w:rsidP="00D77775">
      <w:pPr>
        <w:pStyle w:val="Heading1"/>
      </w:pPr>
      <w:r>
        <w:lastRenderedPageBreak/>
        <w:t>Preparedn</w:t>
      </w:r>
      <w:r w:rsidRPr="00FF4CDD">
        <w:t>e</w:t>
      </w:r>
      <w:r>
        <w:t>ss Priorities</w:t>
      </w:r>
    </w:p>
    <w:p w14:paraId="1315B58F" w14:textId="7F58E80E" w:rsidR="00D77775" w:rsidRDefault="00D77775" w:rsidP="00D77775">
      <w:r w:rsidRPr="00D77775">
        <w:t xml:space="preserve">Based on the </w:t>
      </w:r>
      <w:proofErr w:type="gramStart"/>
      <w:r>
        <w:t>afore</w:t>
      </w:r>
      <w:r w:rsidRPr="00D77775">
        <w:t>mentioned considerations</w:t>
      </w:r>
      <w:proofErr w:type="gramEnd"/>
      <w:r w:rsidRPr="00D77775">
        <w:t xml:space="preserve">, </w:t>
      </w:r>
      <w:r w:rsidR="00C047DC">
        <w:t>Safety University</w:t>
      </w:r>
      <w:r w:rsidRPr="00D77775">
        <w:t xml:space="preserve"> IPPW participants determined the following</w:t>
      </w:r>
      <w:r w:rsidR="00660101">
        <w:t xml:space="preserve"> </w:t>
      </w:r>
      <w:r w:rsidR="004123E6">
        <w:t>three</w:t>
      </w:r>
      <w:r w:rsidR="00660101">
        <w:t xml:space="preserve"> </w:t>
      </w:r>
      <w:r w:rsidRPr="00D77775">
        <w:t xml:space="preserve">priorities will be the focus for the multi-year cycle of </w:t>
      </w:r>
      <w:r w:rsidRPr="00660101">
        <w:t>preparedness for CY 202</w:t>
      </w:r>
      <w:r w:rsidR="00C047DC">
        <w:t>X</w:t>
      </w:r>
      <w:r w:rsidRPr="00660101">
        <w:t>-202</w:t>
      </w:r>
      <w:r w:rsidR="00C047DC">
        <w:t>X</w:t>
      </w:r>
      <w:r w:rsidRPr="00660101">
        <w:t>:</w:t>
      </w:r>
    </w:p>
    <w:tbl>
      <w:tblPr>
        <w:tblStyle w:val="TableGrid"/>
        <w:tblW w:w="0" w:type="auto"/>
        <w:tblLook w:val="04A0" w:firstRow="1" w:lastRow="0" w:firstColumn="1" w:lastColumn="0" w:noHBand="0" w:noVBand="1"/>
      </w:tblPr>
      <w:tblGrid>
        <w:gridCol w:w="9350"/>
      </w:tblGrid>
      <w:tr w:rsidR="00FF4CDD" w14:paraId="0C384375" w14:textId="77777777" w:rsidTr="00CB01C0">
        <w:tc>
          <w:tcPr>
            <w:tcW w:w="9350" w:type="dxa"/>
            <w:shd w:val="clear" w:color="auto" w:fill="186EFF"/>
          </w:tcPr>
          <w:p w14:paraId="3C791570" w14:textId="2439F592" w:rsidR="00FF4CDD" w:rsidRPr="00FF4CDD" w:rsidRDefault="00C047DC" w:rsidP="00FF4CDD">
            <w:pPr>
              <w:spacing w:after="0"/>
              <w:jc w:val="center"/>
              <w:rPr>
                <w:b/>
                <w:bCs/>
              </w:rPr>
            </w:pPr>
            <w:r>
              <w:rPr>
                <w:b/>
                <w:bCs/>
                <w:color w:val="FFFFFF" w:themeColor="background1"/>
              </w:rPr>
              <w:t>SAFETY UNIVERISTY</w:t>
            </w:r>
            <w:r w:rsidR="00FF4CDD" w:rsidRPr="00FF4CDD">
              <w:rPr>
                <w:b/>
                <w:bCs/>
                <w:color w:val="FFFFFF" w:themeColor="background1"/>
              </w:rPr>
              <w:t xml:space="preserve"> CY 202</w:t>
            </w:r>
            <w:r>
              <w:rPr>
                <w:b/>
                <w:bCs/>
                <w:color w:val="FFFFFF" w:themeColor="background1"/>
              </w:rPr>
              <w:t>X</w:t>
            </w:r>
            <w:r w:rsidR="00FF4CDD" w:rsidRPr="00FF4CDD">
              <w:rPr>
                <w:b/>
                <w:bCs/>
                <w:color w:val="FFFFFF" w:themeColor="background1"/>
              </w:rPr>
              <w:t>-202</w:t>
            </w:r>
            <w:r>
              <w:rPr>
                <w:b/>
                <w:bCs/>
                <w:color w:val="FFFFFF" w:themeColor="background1"/>
              </w:rPr>
              <w:t>X</w:t>
            </w:r>
            <w:r w:rsidR="00FF4CDD" w:rsidRPr="00FF4CDD">
              <w:rPr>
                <w:b/>
                <w:bCs/>
                <w:color w:val="FFFFFF" w:themeColor="background1"/>
              </w:rPr>
              <w:t xml:space="preserve"> PREPAREDNESS PRIORITIES</w:t>
            </w:r>
          </w:p>
        </w:tc>
      </w:tr>
      <w:tr w:rsidR="00FF4CDD" w14:paraId="0E4ED2FC" w14:textId="77777777" w:rsidTr="00FF4CDD">
        <w:tc>
          <w:tcPr>
            <w:tcW w:w="9350" w:type="dxa"/>
          </w:tcPr>
          <w:p w14:paraId="658083D8" w14:textId="49158486" w:rsidR="00FF4CDD" w:rsidRPr="00526499" w:rsidRDefault="00A57737" w:rsidP="00E55934">
            <w:pPr>
              <w:pStyle w:val="ListParagraph"/>
              <w:numPr>
                <w:ilvl w:val="0"/>
                <w:numId w:val="19"/>
              </w:numPr>
              <w:spacing w:after="0"/>
            </w:pPr>
            <w:r>
              <w:rPr>
                <w:b/>
                <w:bCs/>
              </w:rPr>
              <w:t>IT Resiliency</w:t>
            </w:r>
            <w:r w:rsidR="00E55934" w:rsidRPr="00526499">
              <w:rPr>
                <w:b/>
                <w:bCs/>
              </w:rPr>
              <w:t xml:space="preserve"> </w:t>
            </w:r>
            <w:r w:rsidR="00E55934" w:rsidRPr="00526499">
              <w:t xml:space="preserve">– Increase the </w:t>
            </w:r>
            <w:r w:rsidR="00C047DC">
              <w:t>company</w:t>
            </w:r>
            <w:r w:rsidR="00E55934" w:rsidRPr="00526499">
              <w:t>’s ability to respond to and mitigate the effects of a</w:t>
            </w:r>
            <w:r w:rsidR="00F579C2">
              <w:t xml:space="preserve"> </w:t>
            </w:r>
            <w:r w:rsidR="00FA5889">
              <w:t>technology</w:t>
            </w:r>
            <w:r w:rsidR="00F579C2">
              <w:t xml:space="preserve"> outage or compromise</w:t>
            </w:r>
            <w:r w:rsidR="00E55934" w:rsidRPr="00526499">
              <w:t>.</w:t>
            </w:r>
          </w:p>
        </w:tc>
      </w:tr>
      <w:tr w:rsidR="00FF4CDD" w14:paraId="132DE98C" w14:textId="77777777" w:rsidTr="00E412FF">
        <w:tc>
          <w:tcPr>
            <w:tcW w:w="9350" w:type="dxa"/>
            <w:shd w:val="clear" w:color="auto" w:fill="D9E2F3" w:themeFill="accent1" w:themeFillTint="33"/>
          </w:tcPr>
          <w:p w14:paraId="0100B50A" w14:textId="24EBFA5A" w:rsidR="00FF4CDD" w:rsidRPr="00526499" w:rsidRDefault="00526499" w:rsidP="00E55934">
            <w:pPr>
              <w:pStyle w:val="ListParagraph"/>
              <w:numPr>
                <w:ilvl w:val="0"/>
                <w:numId w:val="19"/>
              </w:numPr>
              <w:spacing w:after="0"/>
            </w:pPr>
            <w:r>
              <w:rPr>
                <w:b/>
                <w:bCs/>
              </w:rPr>
              <w:t>Incident Management</w:t>
            </w:r>
            <w:r w:rsidR="00E55934" w:rsidRPr="00526499">
              <w:t xml:space="preserve"> – Improve the </w:t>
            </w:r>
            <w:r w:rsidR="00C047DC">
              <w:t>company</w:t>
            </w:r>
            <w:r w:rsidR="00E55934" w:rsidRPr="00526499">
              <w:t xml:space="preserve">’s </w:t>
            </w:r>
            <w:r>
              <w:t xml:space="preserve">ability to systematically manage incidents </w:t>
            </w:r>
            <w:r w:rsidR="00D46CB5">
              <w:t>that require</w:t>
            </w:r>
            <w:r w:rsidR="00B404FB">
              <w:t xml:space="preserve"> the</w:t>
            </w:r>
            <w:r w:rsidR="00D46CB5">
              <w:t xml:space="preserve"> activation of the company’s </w:t>
            </w:r>
            <w:r w:rsidR="00B404FB">
              <w:t>Business Continuity Plan</w:t>
            </w:r>
            <w:r w:rsidR="00D46CB5">
              <w:t xml:space="preserve"> </w:t>
            </w:r>
            <w:r>
              <w:t>while leveraging</w:t>
            </w:r>
            <w:r w:rsidR="004123E6">
              <w:t xml:space="preserve"> the National Incident Management System and the Incident Command System (ICS).</w:t>
            </w:r>
          </w:p>
        </w:tc>
      </w:tr>
      <w:tr w:rsidR="00FF4CDD" w14:paraId="3E1AD2B4" w14:textId="77777777" w:rsidTr="00FF4CDD">
        <w:tc>
          <w:tcPr>
            <w:tcW w:w="9350" w:type="dxa"/>
          </w:tcPr>
          <w:p w14:paraId="3A1B2302" w14:textId="321B59C3" w:rsidR="00FF4CDD" w:rsidRPr="00526499" w:rsidRDefault="00C047DC" w:rsidP="00E55934">
            <w:pPr>
              <w:pStyle w:val="ListParagraph"/>
              <w:numPr>
                <w:ilvl w:val="0"/>
                <w:numId w:val="19"/>
              </w:numPr>
              <w:spacing w:after="0"/>
            </w:pPr>
            <w:bookmarkStart w:id="0" w:name="_Hlk97888998"/>
            <w:r>
              <w:rPr>
                <w:b/>
                <w:bCs/>
              </w:rPr>
              <w:t>Mass Care</w:t>
            </w:r>
            <w:r w:rsidR="00937EAF">
              <w:rPr>
                <w:b/>
                <w:bCs/>
              </w:rPr>
              <w:t xml:space="preserve"> Services</w:t>
            </w:r>
            <w:r w:rsidR="004123E6" w:rsidRPr="00526499">
              <w:t xml:space="preserve"> – Increase the </w:t>
            </w:r>
            <w:r>
              <w:t>company</w:t>
            </w:r>
            <w:r w:rsidR="004123E6" w:rsidRPr="00526499">
              <w:t xml:space="preserve">’s </w:t>
            </w:r>
            <w:r w:rsidR="004123E6">
              <w:t>proficiency</w:t>
            </w:r>
            <w:r w:rsidR="004123E6" w:rsidRPr="00526499">
              <w:t xml:space="preserve"> to respond to and manage </w:t>
            </w:r>
            <w:r>
              <w:t>pandemic/epidemic impacts</w:t>
            </w:r>
            <w:r w:rsidR="004123E6" w:rsidRPr="00526499">
              <w:t xml:space="preserve">.  </w:t>
            </w:r>
            <w:bookmarkEnd w:id="0"/>
          </w:p>
        </w:tc>
      </w:tr>
    </w:tbl>
    <w:p w14:paraId="5D016D71" w14:textId="77777777" w:rsidR="00AA219C" w:rsidRPr="00D77775" w:rsidRDefault="00AA219C" w:rsidP="00D77775"/>
    <w:p w14:paraId="0D393F77" w14:textId="14E78382" w:rsidR="00F5663C" w:rsidRPr="00650CD7" w:rsidRDefault="00D57EDD" w:rsidP="00D57EDD">
      <w:pPr>
        <w:pStyle w:val="Heading2"/>
      </w:pPr>
      <w:r w:rsidRPr="009B5A6E">
        <w:rPr>
          <w:rFonts w:asciiTheme="minorHAnsi" w:hAnsiTheme="minorHAnsi" w:cstheme="minorHAnsi"/>
        </w:rPr>
        <w:t xml:space="preserve">Priority: </w:t>
      </w:r>
      <w:r w:rsidR="00685D08" w:rsidRPr="009B5A6E">
        <w:rPr>
          <w:rFonts w:asciiTheme="minorHAnsi" w:hAnsiTheme="minorHAnsi" w:cstheme="minorHAnsi"/>
        </w:rPr>
        <w:t>IT Resiliency</w:t>
      </w:r>
      <w:r w:rsidR="00685D08" w:rsidRPr="00685D08">
        <w:t xml:space="preserve"> – Increase the </w:t>
      </w:r>
      <w:r w:rsidR="00937EAF">
        <w:t>company</w:t>
      </w:r>
      <w:r w:rsidR="00685D08" w:rsidRPr="00685D08">
        <w:t>’s ability to respond to and mitigate the effects of a technology outage or compromise.</w:t>
      </w:r>
    </w:p>
    <w:p w14:paraId="294EC84E" w14:textId="29718507" w:rsidR="00650CD7" w:rsidRPr="002B5E1A" w:rsidRDefault="001110F5" w:rsidP="00D57EDD">
      <w:pPr>
        <w:rPr>
          <w:highlight w:val="yellow"/>
        </w:rPr>
      </w:pPr>
      <w:r w:rsidRPr="001110F5">
        <w:t xml:space="preserve">As </w:t>
      </w:r>
      <w:proofErr w:type="spellStart"/>
      <w:r w:rsidR="00937EAF">
        <w:t>SafetyU</w:t>
      </w:r>
      <w:proofErr w:type="spellEnd"/>
      <w:r w:rsidRPr="001110F5">
        <w:t xml:space="preserve"> grows, the demands for IT infrastructure increase as well. Instituting robust equipment and procedural upgrades to meet business needs and regulatory requirements is vital. Additionally, </w:t>
      </w:r>
      <w:proofErr w:type="spellStart"/>
      <w:r w:rsidR="00937EAF">
        <w:t>SafetyU</w:t>
      </w:r>
      <w:proofErr w:type="spellEnd"/>
      <w:r w:rsidR="00937EAF">
        <w:t xml:space="preserve"> </w:t>
      </w:r>
      <w:r w:rsidRPr="001110F5">
        <w:t>is committed to developing cyber response capabilities in coordination with external partners, raising awareness of cybersecurity, and developing appropriate partnerships to better protect critical infrastructure from cyber threats</w:t>
      </w:r>
      <w:r w:rsidR="00D57EDD" w:rsidRPr="00D57EDD">
        <w:t>.</w:t>
      </w:r>
    </w:p>
    <w:p w14:paraId="03C23F60" w14:textId="3F6E598F" w:rsidR="00D57EDD" w:rsidRDefault="00D57EDD" w:rsidP="00D57EDD">
      <w:pPr>
        <w:pStyle w:val="Heading3"/>
      </w:pPr>
      <w:r>
        <w:t xml:space="preserve">Corresponding </w:t>
      </w:r>
      <w:r w:rsidR="000E2CC8">
        <w:t xml:space="preserve">FEMA Core </w:t>
      </w:r>
      <w:r>
        <w:t>Capabilities:</w:t>
      </w:r>
    </w:p>
    <w:p w14:paraId="2927E634" w14:textId="77777777" w:rsidR="00D57EDD" w:rsidRDefault="00D57EDD" w:rsidP="00D57EDD">
      <w:pPr>
        <w:pStyle w:val="ListParagraph"/>
        <w:numPr>
          <w:ilvl w:val="0"/>
          <w:numId w:val="20"/>
        </w:numPr>
      </w:pPr>
      <w:r>
        <w:t>Situational assessment,</w:t>
      </w:r>
    </w:p>
    <w:p w14:paraId="7AB730C7" w14:textId="1DEE7490" w:rsidR="00D57EDD" w:rsidRDefault="00D57EDD" w:rsidP="00D57EDD">
      <w:pPr>
        <w:pStyle w:val="ListParagraph"/>
        <w:numPr>
          <w:ilvl w:val="0"/>
          <w:numId w:val="20"/>
        </w:numPr>
      </w:pPr>
      <w:r>
        <w:t>Cybersecurity,</w:t>
      </w:r>
    </w:p>
    <w:p w14:paraId="60D744F7" w14:textId="24877BBF" w:rsidR="00D57EDD" w:rsidRDefault="00D57EDD" w:rsidP="00D57EDD">
      <w:pPr>
        <w:pStyle w:val="ListParagraph"/>
        <w:numPr>
          <w:ilvl w:val="0"/>
          <w:numId w:val="20"/>
        </w:numPr>
      </w:pPr>
      <w:r>
        <w:t>Forensics and attribution,</w:t>
      </w:r>
    </w:p>
    <w:p w14:paraId="3D7DAF8B" w14:textId="18A75DA0" w:rsidR="00D57EDD" w:rsidRDefault="00D57EDD" w:rsidP="00D57EDD">
      <w:pPr>
        <w:pStyle w:val="ListParagraph"/>
        <w:numPr>
          <w:ilvl w:val="0"/>
          <w:numId w:val="20"/>
        </w:numPr>
      </w:pPr>
      <w:r>
        <w:t>Intelligence and Information Sharing,</w:t>
      </w:r>
    </w:p>
    <w:p w14:paraId="62CABD2D" w14:textId="533CA82D" w:rsidR="00D57EDD" w:rsidRDefault="00D57EDD" w:rsidP="00D57EDD">
      <w:pPr>
        <w:pStyle w:val="ListParagraph"/>
        <w:numPr>
          <w:ilvl w:val="0"/>
          <w:numId w:val="20"/>
        </w:numPr>
      </w:pPr>
      <w:r>
        <w:t>Infrastructure Systems, and</w:t>
      </w:r>
    </w:p>
    <w:p w14:paraId="590CA25C" w14:textId="5A91192D" w:rsidR="00D57EDD" w:rsidRDefault="00D57EDD" w:rsidP="00D57EDD">
      <w:pPr>
        <w:pStyle w:val="ListParagraph"/>
        <w:numPr>
          <w:ilvl w:val="0"/>
          <w:numId w:val="20"/>
        </w:numPr>
      </w:pPr>
      <w:r>
        <w:t>Company Resilience</w:t>
      </w:r>
    </w:p>
    <w:p w14:paraId="0B7FA6D2" w14:textId="7CFF5DA4" w:rsidR="00D57EDD" w:rsidRPr="000E2CC8" w:rsidRDefault="00D57EDD" w:rsidP="00D57EDD">
      <w:pPr>
        <w:pStyle w:val="Heading3"/>
        <w:rPr>
          <w:rFonts w:asciiTheme="minorHAnsi" w:hAnsiTheme="minorHAnsi" w:cstheme="minorHAnsi"/>
        </w:rPr>
      </w:pPr>
      <w:r w:rsidRPr="000E2CC8">
        <w:rPr>
          <w:rFonts w:asciiTheme="minorHAnsi" w:hAnsiTheme="minorHAnsi" w:cstheme="minorHAnsi"/>
        </w:rPr>
        <w:t xml:space="preserve">Rationale: </w:t>
      </w:r>
    </w:p>
    <w:p w14:paraId="619066AF" w14:textId="1AD7B44F" w:rsidR="00D57EDD" w:rsidRPr="000E2CC8" w:rsidRDefault="00D57EDD" w:rsidP="00D57EDD">
      <w:pPr>
        <w:rPr>
          <w:rFonts w:cstheme="minorHAnsi"/>
        </w:rPr>
      </w:pPr>
      <w:r w:rsidRPr="000E2CC8">
        <w:rPr>
          <w:rFonts w:cstheme="minorHAnsi"/>
        </w:rPr>
        <w:t xml:space="preserve">During the IPP workshop a gap in capability knowledge was identified for cybersecurity. Additionally, </w:t>
      </w:r>
      <w:r w:rsidR="00EF0F37" w:rsidRPr="000E2CC8">
        <w:rPr>
          <w:rFonts w:cstheme="minorHAnsi"/>
        </w:rPr>
        <w:t>past incidents have revealed vulnerabilities that required resolution</w:t>
      </w:r>
      <w:r w:rsidRPr="000E2CC8">
        <w:rPr>
          <w:rFonts w:cstheme="minorHAnsi"/>
        </w:rPr>
        <w:t>.</w:t>
      </w:r>
    </w:p>
    <w:p w14:paraId="4F95816B" w14:textId="4F93047F" w:rsidR="00D71866" w:rsidRPr="00D71866" w:rsidRDefault="001F0BD7" w:rsidP="00D57EDD">
      <w:pPr>
        <w:rPr>
          <w:rFonts w:cstheme="minorHAnsi"/>
        </w:rPr>
      </w:pPr>
      <w:r>
        <w:rPr>
          <w:rFonts w:cstheme="minorHAnsi"/>
        </w:rPr>
        <w:t>As the company continuously improves and grows, it has identified the need to increase redundancy and resiliency of the IT systems. Additionally, cyberattack/ransomware incidents have increased over the past years. Protecting the company’s infrastructure and data is top priority.</w:t>
      </w:r>
    </w:p>
    <w:p w14:paraId="7BC0332B" w14:textId="77777777" w:rsidR="00D57EDD" w:rsidRPr="00546785" w:rsidRDefault="00D57EDD" w:rsidP="00EF0F37">
      <w:pPr>
        <w:pStyle w:val="Heading3"/>
        <w:rPr>
          <w:rFonts w:asciiTheme="minorHAnsi" w:hAnsiTheme="minorHAnsi" w:cstheme="minorHAnsi"/>
        </w:rPr>
      </w:pPr>
      <w:r w:rsidRPr="00546785">
        <w:rPr>
          <w:rFonts w:asciiTheme="minorHAnsi" w:hAnsiTheme="minorHAnsi" w:cstheme="minorHAnsi"/>
        </w:rPr>
        <w:t>Planning Factors:</w:t>
      </w:r>
    </w:p>
    <w:p w14:paraId="1777F288" w14:textId="3CD56C9F" w:rsidR="00D57EDD" w:rsidRPr="00546785" w:rsidRDefault="00EF0F37" w:rsidP="00EF0F37">
      <w:pPr>
        <w:pStyle w:val="ListParagraph"/>
        <w:numPr>
          <w:ilvl w:val="0"/>
          <w:numId w:val="21"/>
        </w:numPr>
        <w:rPr>
          <w:rFonts w:cstheme="minorHAnsi"/>
        </w:rPr>
      </w:pPr>
      <w:r w:rsidRPr="00546785">
        <w:rPr>
          <w:rFonts w:cstheme="minorHAnsi"/>
        </w:rPr>
        <w:t>IT</w:t>
      </w:r>
      <w:r w:rsidR="00D57EDD" w:rsidRPr="00546785">
        <w:rPr>
          <w:rFonts w:cstheme="minorHAnsi"/>
        </w:rPr>
        <w:t xml:space="preserve"> Cybersecurity </w:t>
      </w:r>
      <w:r w:rsidR="000F348E" w:rsidRPr="00546785">
        <w:rPr>
          <w:rFonts w:cstheme="minorHAnsi"/>
        </w:rPr>
        <w:t xml:space="preserve">Strategic </w:t>
      </w:r>
      <w:r w:rsidRPr="00546785">
        <w:rPr>
          <w:rFonts w:cstheme="minorHAnsi"/>
        </w:rPr>
        <w:t>Plan</w:t>
      </w:r>
    </w:p>
    <w:p w14:paraId="3BF3A8DB" w14:textId="69151980" w:rsidR="000E2CC8" w:rsidRDefault="00546785" w:rsidP="00F408A4">
      <w:pPr>
        <w:pStyle w:val="ListParagraph"/>
        <w:numPr>
          <w:ilvl w:val="0"/>
          <w:numId w:val="21"/>
        </w:numPr>
        <w:rPr>
          <w:rFonts w:cstheme="minorHAnsi"/>
        </w:rPr>
      </w:pPr>
      <w:r w:rsidRPr="00546785">
        <w:rPr>
          <w:rFonts w:cstheme="minorHAnsi"/>
        </w:rPr>
        <w:t xml:space="preserve">IT </w:t>
      </w:r>
      <w:r>
        <w:rPr>
          <w:rFonts w:cstheme="minorHAnsi"/>
        </w:rPr>
        <w:t>I</w:t>
      </w:r>
      <w:r w:rsidRPr="00546785">
        <w:rPr>
          <w:rFonts w:cstheme="minorHAnsi"/>
        </w:rPr>
        <w:t xml:space="preserve">nfrastructure </w:t>
      </w:r>
      <w:r>
        <w:rPr>
          <w:rFonts w:cstheme="minorHAnsi"/>
        </w:rPr>
        <w:t>M</w:t>
      </w:r>
      <w:r w:rsidRPr="00546785">
        <w:rPr>
          <w:rFonts w:cstheme="minorHAnsi"/>
        </w:rPr>
        <w:t xml:space="preserve">odernization </w:t>
      </w:r>
      <w:r w:rsidR="002F4F63">
        <w:rPr>
          <w:rFonts w:cstheme="minorHAnsi"/>
        </w:rPr>
        <w:t>Roadmap</w:t>
      </w:r>
    </w:p>
    <w:p w14:paraId="5E0AA9B6" w14:textId="42B97404" w:rsidR="00377D46" w:rsidRPr="00377D46" w:rsidRDefault="00377D46" w:rsidP="00377D46">
      <w:pPr>
        <w:pStyle w:val="ListParagraph"/>
        <w:numPr>
          <w:ilvl w:val="1"/>
          <w:numId w:val="21"/>
        </w:numPr>
        <w:rPr>
          <w:rFonts w:cstheme="minorHAnsi"/>
        </w:rPr>
      </w:pPr>
      <w:r w:rsidRPr="00377D46">
        <w:rPr>
          <w:rFonts w:cstheme="minorHAnsi"/>
        </w:rPr>
        <w:t xml:space="preserve">Implementing infrastructure as code to allow automation of buildup and tear down of infrastructure components </w:t>
      </w:r>
      <w:r>
        <w:rPr>
          <w:rFonts w:cstheme="minorHAnsi"/>
        </w:rPr>
        <w:t>(</w:t>
      </w:r>
      <w:proofErr w:type="gramStart"/>
      <w:r w:rsidRPr="00377D46">
        <w:rPr>
          <w:rFonts w:cstheme="minorHAnsi"/>
        </w:rPr>
        <w:t>e.g.</w:t>
      </w:r>
      <w:proofErr w:type="gramEnd"/>
      <w:r w:rsidRPr="00377D46">
        <w:rPr>
          <w:rFonts w:cstheme="minorHAnsi"/>
        </w:rPr>
        <w:t xml:space="preserve"> networks, servers, firewalls, and load balancers</w:t>
      </w:r>
      <w:r>
        <w:rPr>
          <w:rFonts w:cstheme="minorHAnsi"/>
        </w:rPr>
        <w:t>)</w:t>
      </w:r>
      <w:r w:rsidRPr="00377D46">
        <w:rPr>
          <w:rFonts w:cstheme="minorHAnsi"/>
        </w:rPr>
        <w:t xml:space="preserve">. </w:t>
      </w:r>
    </w:p>
    <w:p w14:paraId="69803696" w14:textId="03091EE2" w:rsidR="00377D46" w:rsidRPr="00546785" w:rsidRDefault="00377D46" w:rsidP="00377D46">
      <w:pPr>
        <w:pStyle w:val="ListParagraph"/>
        <w:numPr>
          <w:ilvl w:val="1"/>
          <w:numId w:val="21"/>
        </w:numPr>
        <w:rPr>
          <w:rFonts w:cstheme="minorHAnsi"/>
        </w:rPr>
      </w:pPr>
      <w:r w:rsidRPr="00377D46">
        <w:rPr>
          <w:rFonts w:cstheme="minorHAnsi"/>
        </w:rPr>
        <w:t>Building infrastructure in hybrid-cloud environment to support production workflows</w:t>
      </w:r>
      <w:r w:rsidR="00937EAF">
        <w:rPr>
          <w:rFonts w:cstheme="minorHAnsi"/>
        </w:rPr>
        <w:t>.</w:t>
      </w:r>
    </w:p>
    <w:p w14:paraId="6B0FD298" w14:textId="77777777" w:rsidR="00D57EDD" w:rsidRPr="000E2CC8" w:rsidRDefault="00D57EDD" w:rsidP="00EF0F37">
      <w:pPr>
        <w:pStyle w:val="Heading3"/>
        <w:rPr>
          <w:rFonts w:asciiTheme="minorHAnsi" w:hAnsiTheme="minorHAnsi" w:cstheme="minorHAnsi"/>
        </w:rPr>
      </w:pPr>
      <w:r w:rsidRPr="00546785">
        <w:rPr>
          <w:rFonts w:asciiTheme="minorHAnsi" w:hAnsiTheme="minorHAnsi" w:cstheme="minorHAnsi"/>
        </w:rPr>
        <w:t>Organization and Equipment Factors</w:t>
      </w:r>
      <w:r w:rsidRPr="000E2CC8">
        <w:rPr>
          <w:rFonts w:asciiTheme="minorHAnsi" w:hAnsiTheme="minorHAnsi" w:cstheme="minorHAnsi"/>
        </w:rPr>
        <w:t>:</w:t>
      </w:r>
    </w:p>
    <w:p w14:paraId="590F08BA" w14:textId="6A2558C4" w:rsidR="00D57EDD" w:rsidRPr="000E2CC8" w:rsidRDefault="00D57EDD" w:rsidP="00EF0F37">
      <w:pPr>
        <w:pStyle w:val="ListParagraph"/>
        <w:numPr>
          <w:ilvl w:val="0"/>
          <w:numId w:val="23"/>
        </w:numPr>
        <w:rPr>
          <w:rFonts w:cstheme="minorHAnsi"/>
        </w:rPr>
      </w:pPr>
      <w:r w:rsidRPr="000E2CC8">
        <w:rPr>
          <w:rFonts w:cstheme="minorHAnsi"/>
        </w:rPr>
        <w:t>Continue cyber assessment for resource determination; and</w:t>
      </w:r>
    </w:p>
    <w:p w14:paraId="7E15136C" w14:textId="34E7BBF8" w:rsidR="001128FE" w:rsidRPr="000E2CC8" w:rsidRDefault="00937EAF" w:rsidP="001128FE">
      <w:pPr>
        <w:pStyle w:val="ListParagraph"/>
        <w:numPr>
          <w:ilvl w:val="0"/>
          <w:numId w:val="23"/>
        </w:numPr>
        <w:rPr>
          <w:rFonts w:cstheme="minorHAnsi"/>
        </w:rPr>
      </w:pPr>
      <w:r>
        <w:rPr>
          <w:rFonts w:cstheme="minorHAnsi"/>
        </w:rPr>
        <w:lastRenderedPageBreak/>
        <w:t>Resiliency of the backup</w:t>
      </w:r>
      <w:r w:rsidR="00F408A4">
        <w:rPr>
          <w:rFonts w:cstheme="minorHAnsi"/>
        </w:rPr>
        <w:t xml:space="preserve"> Data Center for active standby</w:t>
      </w:r>
    </w:p>
    <w:p w14:paraId="00FAC465" w14:textId="77777777" w:rsidR="000E2CC8" w:rsidRPr="0002326D" w:rsidRDefault="000E2CC8" w:rsidP="000E2CC8">
      <w:pPr>
        <w:pStyle w:val="Heading3"/>
      </w:pPr>
      <w:r w:rsidRPr="0002326D">
        <w:t>Supporting Training Courses:</w:t>
      </w:r>
    </w:p>
    <w:p w14:paraId="71832774" w14:textId="7BAF0BBE" w:rsidR="00FA675C" w:rsidRPr="0002326D" w:rsidRDefault="00937EAF" w:rsidP="000E2CC8">
      <w:pPr>
        <w:pStyle w:val="ListParagraph"/>
        <w:numPr>
          <w:ilvl w:val="0"/>
          <w:numId w:val="26"/>
        </w:numPr>
      </w:pPr>
      <w:r>
        <w:t>HIPAA Compliance Training</w:t>
      </w:r>
    </w:p>
    <w:p w14:paraId="19C214AC" w14:textId="0B953A99" w:rsidR="00FA675C" w:rsidRPr="0002326D" w:rsidRDefault="00FA675C" w:rsidP="000E2CC8">
      <w:pPr>
        <w:pStyle w:val="ListParagraph"/>
        <w:numPr>
          <w:ilvl w:val="0"/>
          <w:numId w:val="26"/>
        </w:numPr>
      </w:pPr>
      <w:r w:rsidRPr="0002326D">
        <w:t xml:space="preserve">Job Specific Risk Training </w:t>
      </w:r>
    </w:p>
    <w:p w14:paraId="2BE73EA9" w14:textId="5B8BA9CD" w:rsidR="000E2CC8" w:rsidRPr="0002326D" w:rsidRDefault="00FA675C" w:rsidP="000E2CC8">
      <w:pPr>
        <w:pStyle w:val="ListParagraph"/>
        <w:numPr>
          <w:ilvl w:val="0"/>
          <w:numId w:val="26"/>
        </w:numPr>
      </w:pPr>
      <w:r w:rsidRPr="0002326D">
        <w:t>Data Security Training</w:t>
      </w:r>
    </w:p>
    <w:p w14:paraId="2D46AF6D" w14:textId="3922EAC4" w:rsidR="00FA675C" w:rsidRPr="0002326D" w:rsidRDefault="00FA675C" w:rsidP="000E2CC8">
      <w:pPr>
        <w:pStyle w:val="ListParagraph"/>
        <w:numPr>
          <w:ilvl w:val="0"/>
          <w:numId w:val="26"/>
        </w:numPr>
      </w:pPr>
      <w:r w:rsidRPr="0002326D">
        <w:t>Phishing Alert Training</w:t>
      </w:r>
    </w:p>
    <w:p w14:paraId="5BA29DD2" w14:textId="654A0AA5" w:rsidR="0002326D" w:rsidRPr="0002326D" w:rsidRDefault="0002326D" w:rsidP="000E2CC8">
      <w:pPr>
        <w:pStyle w:val="ListParagraph"/>
        <w:numPr>
          <w:ilvl w:val="0"/>
          <w:numId w:val="26"/>
        </w:numPr>
      </w:pPr>
      <w:r w:rsidRPr="0002326D">
        <w:t>FEMA IS 915 Protecting Critical Infrastructure Against Insider Threats</w:t>
      </w:r>
    </w:p>
    <w:p w14:paraId="1A9D6613" w14:textId="682D384E" w:rsidR="00AD2037" w:rsidRPr="00650CD7" w:rsidRDefault="00AD2037" w:rsidP="00AD2037">
      <w:pPr>
        <w:pStyle w:val="Heading2"/>
      </w:pPr>
      <w:r w:rsidRPr="000E2CC8">
        <w:rPr>
          <w:rFonts w:asciiTheme="minorHAnsi" w:hAnsiTheme="minorHAnsi" w:cstheme="minorHAnsi"/>
        </w:rPr>
        <w:t xml:space="preserve">Priority: </w:t>
      </w:r>
      <w:r w:rsidR="00EE2930" w:rsidRPr="000E2CC8">
        <w:rPr>
          <w:rFonts w:asciiTheme="minorHAnsi" w:hAnsiTheme="minorHAnsi" w:cstheme="minorHAnsi"/>
        </w:rPr>
        <w:t>Incident Management</w:t>
      </w:r>
      <w:r w:rsidR="00EE2930" w:rsidRPr="00EE2930">
        <w:t xml:space="preserve"> – Improve the </w:t>
      </w:r>
      <w:r w:rsidR="00937EAF">
        <w:t>company</w:t>
      </w:r>
      <w:r w:rsidR="00EE2930" w:rsidRPr="00EE2930">
        <w:t xml:space="preserve">’s ability to systematically manage incidents </w:t>
      </w:r>
      <w:r w:rsidR="004F5F91">
        <w:t xml:space="preserve">that require the </w:t>
      </w:r>
      <w:r w:rsidR="00A47BE4">
        <w:t xml:space="preserve">activation of the </w:t>
      </w:r>
      <w:r w:rsidR="004F5F91">
        <w:t xml:space="preserve">company’s Business </w:t>
      </w:r>
      <w:r w:rsidR="00A47BE4">
        <w:t>Continuity</w:t>
      </w:r>
      <w:r w:rsidR="004F5F91">
        <w:t xml:space="preserve"> </w:t>
      </w:r>
      <w:r w:rsidR="00A47BE4">
        <w:t xml:space="preserve">Plan </w:t>
      </w:r>
      <w:r w:rsidR="00EE2930" w:rsidRPr="00EE2930">
        <w:t>while leveraging the National Incident Management System and the Incident Command System (ICS).</w:t>
      </w:r>
    </w:p>
    <w:p w14:paraId="2361AF23" w14:textId="31392C3F" w:rsidR="00AD2037" w:rsidRDefault="007331E7" w:rsidP="00AD2037">
      <w:r>
        <w:t xml:space="preserve">As the company grows, adopting the National Incident Management System’s Incident Command System (ICS) will ensure a flexible, standardized approach for all crisis or unplanned events is used. </w:t>
      </w:r>
      <w:r w:rsidR="005057A3" w:rsidRPr="005057A3">
        <w:t xml:space="preserve">The Incident Command System (ICS) is a standardized approach to the command, </w:t>
      </w:r>
      <w:r w:rsidR="005057A3">
        <w:t>management</w:t>
      </w:r>
      <w:r w:rsidR="005057A3" w:rsidRPr="005057A3">
        <w:t xml:space="preserve">, and coordination of emergency response providing a common hierarchy </w:t>
      </w:r>
      <w:r w:rsidR="005057A3">
        <w:t xml:space="preserve">that will help address the challenges of avoiding duplicative efforts and continuing overhead, providing logistical and administrative support to operational staff, and providing a unified, centrally authorized emergency organization. </w:t>
      </w:r>
      <w:r>
        <w:t xml:space="preserve">   </w:t>
      </w:r>
    </w:p>
    <w:p w14:paraId="75888915" w14:textId="785DD452" w:rsidR="00AD2037" w:rsidRDefault="00AD2037" w:rsidP="00AD2037">
      <w:pPr>
        <w:pStyle w:val="Heading3"/>
      </w:pPr>
      <w:r>
        <w:t xml:space="preserve">Corresponding </w:t>
      </w:r>
      <w:r w:rsidR="000E2CC8">
        <w:t xml:space="preserve">FEMA Core </w:t>
      </w:r>
      <w:r>
        <w:t>Capabilities:</w:t>
      </w:r>
    </w:p>
    <w:p w14:paraId="3073B80A" w14:textId="77777777" w:rsidR="005057A3" w:rsidRDefault="005057A3" w:rsidP="00AD2037">
      <w:pPr>
        <w:pStyle w:val="ListParagraph"/>
        <w:numPr>
          <w:ilvl w:val="0"/>
          <w:numId w:val="20"/>
        </w:numPr>
      </w:pPr>
      <w:r>
        <w:t>Planning</w:t>
      </w:r>
    </w:p>
    <w:p w14:paraId="6412A195" w14:textId="52841703" w:rsidR="00AD2037" w:rsidRDefault="00AD2037" w:rsidP="00AD2037">
      <w:pPr>
        <w:pStyle w:val="ListParagraph"/>
        <w:numPr>
          <w:ilvl w:val="0"/>
          <w:numId w:val="20"/>
        </w:numPr>
      </w:pPr>
      <w:r>
        <w:t>Public Information and Warning</w:t>
      </w:r>
    </w:p>
    <w:p w14:paraId="385C7B86" w14:textId="5F36A572" w:rsidR="00AD2037" w:rsidRDefault="00AD2037" w:rsidP="00AD2037">
      <w:pPr>
        <w:pStyle w:val="ListParagraph"/>
        <w:numPr>
          <w:ilvl w:val="0"/>
          <w:numId w:val="20"/>
        </w:numPr>
      </w:pPr>
      <w:r>
        <w:t>Operational Coordination</w:t>
      </w:r>
    </w:p>
    <w:p w14:paraId="4E75FFCC" w14:textId="74B9BDB7" w:rsidR="00D2599A" w:rsidRDefault="00D2599A" w:rsidP="00AD2037">
      <w:pPr>
        <w:pStyle w:val="ListParagraph"/>
        <w:numPr>
          <w:ilvl w:val="0"/>
          <w:numId w:val="20"/>
        </w:numPr>
      </w:pPr>
      <w:r>
        <w:t>Operational Communication</w:t>
      </w:r>
    </w:p>
    <w:p w14:paraId="11FFF3C0" w14:textId="18319C94" w:rsidR="00AD2037" w:rsidRDefault="00AD2037" w:rsidP="00AD2037">
      <w:pPr>
        <w:pStyle w:val="ListParagraph"/>
        <w:numPr>
          <w:ilvl w:val="0"/>
          <w:numId w:val="20"/>
        </w:numPr>
      </w:pPr>
      <w:r>
        <w:t xml:space="preserve">Situational </w:t>
      </w:r>
      <w:r w:rsidR="00062DC3">
        <w:t>A</w:t>
      </w:r>
      <w:r>
        <w:t>ssessment</w:t>
      </w:r>
    </w:p>
    <w:p w14:paraId="60B8DF3D" w14:textId="77777777" w:rsidR="00AD2037" w:rsidRDefault="00AD2037" w:rsidP="00AD2037">
      <w:pPr>
        <w:pStyle w:val="Heading3"/>
      </w:pPr>
      <w:r>
        <w:t xml:space="preserve">Rationale: </w:t>
      </w:r>
    </w:p>
    <w:p w14:paraId="2F590E0A" w14:textId="6F206DAC" w:rsidR="00AD2037" w:rsidRDefault="000F3140" w:rsidP="00AD2037">
      <w:r>
        <w:t xml:space="preserve">The company </w:t>
      </w:r>
      <w:r w:rsidR="00937EAF">
        <w:t>has not widely adopted</w:t>
      </w:r>
      <w:r>
        <w:t xml:space="preserve"> the Incident Command System (ICS) for incident management during a crisis or unplanned event. Adopting this system will align the </w:t>
      </w:r>
      <w:r w:rsidR="00937EAF">
        <w:t>company</w:t>
      </w:r>
      <w:r>
        <w:t xml:space="preserve"> with industry best practices and provide a standardized, flexible program to ensure efficient emergency response. </w:t>
      </w:r>
    </w:p>
    <w:p w14:paraId="067C582C" w14:textId="77777777" w:rsidR="00AD2037" w:rsidRDefault="00AD2037" w:rsidP="00AD2037">
      <w:pPr>
        <w:pStyle w:val="Heading3"/>
      </w:pPr>
      <w:r>
        <w:t>Planning Factors:</w:t>
      </w:r>
    </w:p>
    <w:p w14:paraId="6B4F4ED9" w14:textId="0B14A36E" w:rsidR="00AD2037" w:rsidRDefault="009D37B5" w:rsidP="00AD2037">
      <w:pPr>
        <w:pStyle w:val="ListParagraph"/>
        <w:numPr>
          <w:ilvl w:val="0"/>
          <w:numId w:val="21"/>
        </w:numPr>
      </w:pPr>
      <w:r>
        <w:t>Emergency Operations Plan</w:t>
      </w:r>
    </w:p>
    <w:p w14:paraId="6965739E" w14:textId="2F01C562" w:rsidR="009D37B5" w:rsidRDefault="000F3140" w:rsidP="00AD2037">
      <w:pPr>
        <w:pStyle w:val="ListParagraph"/>
        <w:numPr>
          <w:ilvl w:val="0"/>
          <w:numId w:val="21"/>
        </w:numPr>
      </w:pPr>
      <w:r>
        <w:t>Business Continuity Plan</w:t>
      </w:r>
    </w:p>
    <w:p w14:paraId="71FE1472" w14:textId="23CFBCA3" w:rsidR="000F3140" w:rsidRDefault="000F3140" w:rsidP="00AD2037">
      <w:pPr>
        <w:pStyle w:val="ListParagraph"/>
        <w:numPr>
          <w:ilvl w:val="0"/>
          <w:numId w:val="21"/>
        </w:numPr>
      </w:pPr>
      <w:r>
        <w:t>Crisis Communications Plan</w:t>
      </w:r>
    </w:p>
    <w:p w14:paraId="38B7820E" w14:textId="77777777" w:rsidR="00AD2037" w:rsidRDefault="00AD2037" w:rsidP="00AD2037">
      <w:pPr>
        <w:pStyle w:val="Heading3"/>
      </w:pPr>
      <w:r>
        <w:t>Organization and Equipment Factors:</w:t>
      </w:r>
    </w:p>
    <w:p w14:paraId="25FB8FE8" w14:textId="003E677D" w:rsidR="00AD2037" w:rsidRDefault="000F3140" w:rsidP="00AD2037">
      <w:pPr>
        <w:pStyle w:val="ListParagraph"/>
        <w:numPr>
          <w:ilvl w:val="0"/>
          <w:numId w:val="23"/>
        </w:numPr>
      </w:pPr>
      <w:r>
        <w:t>Establish a pre-assigned Incident Management Team (IMT)</w:t>
      </w:r>
      <w:r w:rsidR="00AD2037">
        <w:t>.</w:t>
      </w:r>
    </w:p>
    <w:p w14:paraId="36A011B3" w14:textId="7BE6AEC6" w:rsidR="00183E11" w:rsidRDefault="00183E11" w:rsidP="00183E11">
      <w:pPr>
        <w:pStyle w:val="Heading3"/>
      </w:pPr>
      <w:r>
        <w:t>Supporting Training Courses:</w:t>
      </w:r>
    </w:p>
    <w:p w14:paraId="5BCBEE1F" w14:textId="4F74A31F" w:rsidR="00183E11" w:rsidRDefault="000F3140" w:rsidP="00183E11">
      <w:pPr>
        <w:pStyle w:val="ListParagraph"/>
        <w:numPr>
          <w:ilvl w:val="0"/>
          <w:numId w:val="24"/>
        </w:numPr>
      </w:pPr>
      <w:r>
        <w:t xml:space="preserve">Provide Incident Management Team (IMT) </w:t>
      </w:r>
      <w:r w:rsidR="005C5C4A">
        <w:t xml:space="preserve">members </w:t>
      </w:r>
      <w:r>
        <w:t>core Incident Command System training to include ICS 100, ICS 200, and ICS 700, and</w:t>
      </w:r>
    </w:p>
    <w:p w14:paraId="3FB99A75" w14:textId="3F9F0A36" w:rsidR="000F3140" w:rsidRDefault="000F3140" w:rsidP="00183E11">
      <w:pPr>
        <w:pStyle w:val="ListParagraph"/>
        <w:numPr>
          <w:ilvl w:val="0"/>
          <w:numId w:val="24"/>
        </w:numPr>
      </w:pPr>
      <w:r>
        <w:t>Provide ICS awareness level training to all other workforce members.</w:t>
      </w:r>
    </w:p>
    <w:p w14:paraId="721DBC26" w14:textId="66510049" w:rsidR="004D329E" w:rsidRPr="00650CD7" w:rsidRDefault="004D329E" w:rsidP="004D329E">
      <w:pPr>
        <w:pStyle w:val="Heading2"/>
      </w:pPr>
      <w:r w:rsidRPr="009B5A6E">
        <w:rPr>
          <w:rFonts w:asciiTheme="minorHAnsi" w:hAnsiTheme="minorHAnsi" w:cstheme="minorHAnsi"/>
        </w:rPr>
        <w:lastRenderedPageBreak/>
        <w:t xml:space="preserve">Priority: </w:t>
      </w:r>
      <w:r w:rsidR="00C442E2">
        <w:rPr>
          <w:rFonts w:asciiTheme="minorHAnsi" w:hAnsiTheme="minorHAnsi" w:cstheme="minorHAnsi"/>
        </w:rPr>
        <w:t>Mass Car Service</w:t>
      </w:r>
      <w:r w:rsidR="00EE2930" w:rsidRPr="00EE2930">
        <w:t xml:space="preserve"> – Increase the </w:t>
      </w:r>
      <w:r w:rsidR="00937EAF">
        <w:t>company’</w:t>
      </w:r>
      <w:r w:rsidR="00EE2930" w:rsidRPr="00EE2930">
        <w:t xml:space="preserve">s proficiency to respond to and manage </w:t>
      </w:r>
      <w:r w:rsidR="00C442E2">
        <w:t>the impacts of pandemic/epidemic incidents</w:t>
      </w:r>
      <w:r w:rsidR="00EE2930" w:rsidRPr="00EE2930">
        <w:t xml:space="preserve">.  </w:t>
      </w:r>
    </w:p>
    <w:p w14:paraId="79C7FED4" w14:textId="57FFC331" w:rsidR="004D329E" w:rsidRDefault="007E3B33" w:rsidP="004D329E">
      <w:r>
        <w:t xml:space="preserve">The safety of </w:t>
      </w:r>
      <w:r w:rsidR="00461DB2">
        <w:t>the</w:t>
      </w:r>
      <w:r>
        <w:t xml:space="preserve"> </w:t>
      </w:r>
      <w:r w:rsidR="00C442E2">
        <w:t>company</w:t>
      </w:r>
      <w:r>
        <w:t xml:space="preserve">’s workforce is </w:t>
      </w:r>
      <w:r w:rsidR="00AE2B40">
        <w:t xml:space="preserve">vital the success of its mission and strategies. Providing robust procedures and training on how to detect, respond, and handle </w:t>
      </w:r>
      <w:r w:rsidR="00C442E2">
        <w:t>emerging infectious diseases</w:t>
      </w:r>
      <w:r w:rsidR="00AE2B40">
        <w:t xml:space="preserve"> increases the safety of the applicable staff and securing a safety physical work environment.</w:t>
      </w:r>
    </w:p>
    <w:p w14:paraId="08880321" w14:textId="7635A629" w:rsidR="004D329E" w:rsidRPr="007E3B33" w:rsidRDefault="004D329E" w:rsidP="004D329E">
      <w:pPr>
        <w:pStyle w:val="Heading3"/>
      </w:pPr>
      <w:r w:rsidRPr="007E3B33">
        <w:t xml:space="preserve">Corresponding </w:t>
      </w:r>
      <w:r w:rsidR="000E2CC8">
        <w:t xml:space="preserve">FEMA Core </w:t>
      </w:r>
      <w:r w:rsidRPr="007E3B33">
        <w:t>Capabilities:</w:t>
      </w:r>
    </w:p>
    <w:p w14:paraId="59F6D2F0" w14:textId="7BB5D22A" w:rsidR="004D329E" w:rsidRPr="007E3B33" w:rsidRDefault="00C442E2" w:rsidP="004D329E">
      <w:pPr>
        <w:pStyle w:val="ListParagraph"/>
        <w:numPr>
          <w:ilvl w:val="0"/>
          <w:numId w:val="20"/>
        </w:numPr>
      </w:pPr>
      <w:r>
        <w:t>Mass Care Services</w:t>
      </w:r>
    </w:p>
    <w:p w14:paraId="1CA44DA4" w14:textId="5AB44AB5" w:rsidR="007E3B33" w:rsidRPr="007E3B33" w:rsidRDefault="00C442E2" w:rsidP="004D329E">
      <w:pPr>
        <w:pStyle w:val="ListParagraph"/>
        <w:numPr>
          <w:ilvl w:val="0"/>
          <w:numId w:val="20"/>
        </w:numPr>
      </w:pPr>
      <w:r>
        <w:t>Threats and Hazards Identification</w:t>
      </w:r>
    </w:p>
    <w:p w14:paraId="6D072D9B" w14:textId="77777777" w:rsidR="004D329E" w:rsidRDefault="004D329E" w:rsidP="004D329E">
      <w:pPr>
        <w:pStyle w:val="Heading3"/>
      </w:pPr>
      <w:r>
        <w:t xml:space="preserve">Rationale: </w:t>
      </w:r>
    </w:p>
    <w:p w14:paraId="476D8D24" w14:textId="432C6B9E" w:rsidR="004D329E" w:rsidRDefault="00933AEE" w:rsidP="004D329E">
      <w:r w:rsidRPr="007E3B33">
        <w:t xml:space="preserve">During the </w:t>
      </w:r>
      <w:r w:rsidR="00C442E2">
        <w:t>2019 COVID Response</w:t>
      </w:r>
      <w:r w:rsidRPr="007E3B33">
        <w:t xml:space="preserve"> </w:t>
      </w:r>
      <w:r w:rsidR="00C442E2">
        <w:t>after action review</w:t>
      </w:r>
      <w:r w:rsidRPr="007E3B33">
        <w:t xml:space="preserve">, </w:t>
      </w:r>
      <w:r w:rsidR="00C442E2">
        <w:t>several action items and opportunities for improvement were noted. These items were developed through a comprehensive interview process whereby nearly all persons that staffed positions in the Incident Management Team (IMT) had an opportunity identify strengths and weaknesses.</w:t>
      </w:r>
    </w:p>
    <w:p w14:paraId="50CC8567" w14:textId="77777777" w:rsidR="004D329E" w:rsidRPr="00933AEE" w:rsidRDefault="004D329E" w:rsidP="004D329E">
      <w:pPr>
        <w:pStyle w:val="Heading3"/>
      </w:pPr>
      <w:r w:rsidRPr="00933AEE">
        <w:t>Planning Factors:</w:t>
      </w:r>
    </w:p>
    <w:p w14:paraId="627BE1B1" w14:textId="7071D61C" w:rsidR="00933AEE" w:rsidRPr="00933AEE" w:rsidRDefault="00C442E2" w:rsidP="004D329E">
      <w:pPr>
        <w:pStyle w:val="ListParagraph"/>
        <w:numPr>
          <w:ilvl w:val="0"/>
          <w:numId w:val="21"/>
        </w:numPr>
      </w:pPr>
      <w:r>
        <w:t>Emergency infectious diseases plan</w:t>
      </w:r>
    </w:p>
    <w:p w14:paraId="54348FB0" w14:textId="77777777" w:rsidR="004D329E" w:rsidRPr="00933AEE" w:rsidRDefault="004D329E" w:rsidP="004D329E">
      <w:pPr>
        <w:pStyle w:val="Heading3"/>
      </w:pPr>
      <w:r w:rsidRPr="00933AEE">
        <w:t>Organization and Equipment Factors:</w:t>
      </w:r>
    </w:p>
    <w:p w14:paraId="29099341" w14:textId="288666D8" w:rsidR="00933AEE" w:rsidRPr="00933AEE" w:rsidRDefault="00933AEE" w:rsidP="004D329E">
      <w:pPr>
        <w:pStyle w:val="ListParagraph"/>
        <w:numPr>
          <w:ilvl w:val="0"/>
          <w:numId w:val="23"/>
        </w:numPr>
      </w:pPr>
      <w:r w:rsidRPr="00933AEE">
        <w:t xml:space="preserve">None </w:t>
      </w:r>
      <w:proofErr w:type="gramStart"/>
      <w:r w:rsidRPr="00933AEE">
        <w:t>noted</w:t>
      </w:r>
      <w:proofErr w:type="gramEnd"/>
    </w:p>
    <w:p w14:paraId="4CE7CA25" w14:textId="77777777" w:rsidR="004D329E" w:rsidRPr="00933AEE" w:rsidRDefault="004D329E" w:rsidP="004D329E">
      <w:pPr>
        <w:pStyle w:val="Heading3"/>
      </w:pPr>
      <w:r w:rsidRPr="00933AEE">
        <w:t>Supporting Training Courses:</w:t>
      </w:r>
    </w:p>
    <w:p w14:paraId="69C5138C" w14:textId="546B569B" w:rsidR="001411A9" w:rsidRPr="00F62A27" w:rsidRDefault="005D15E8" w:rsidP="00EE2930">
      <w:pPr>
        <w:pStyle w:val="ListParagraph"/>
        <w:numPr>
          <w:ilvl w:val="0"/>
          <w:numId w:val="24"/>
        </w:numPr>
      </w:pPr>
      <w:r>
        <w:t xml:space="preserve">TBD – Need to research current training </w:t>
      </w:r>
      <w:proofErr w:type="gramStart"/>
      <w:r>
        <w:t>available</w:t>
      </w:r>
      <w:proofErr w:type="gramEnd"/>
    </w:p>
    <w:p w14:paraId="2FCD5299" w14:textId="77777777" w:rsidR="009F778B" w:rsidRDefault="009F778B" w:rsidP="009F778B">
      <w:pPr>
        <w:pStyle w:val="Heading2"/>
      </w:pPr>
      <w:r>
        <w:t>Priority Monitoring</w:t>
      </w:r>
    </w:p>
    <w:p w14:paraId="2C6103AC" w14:textId="4985028C" w:rsidR="00075AAD" w:rsidRDefault="009F778B" w:rsidP="009F778B">
      <w:r>
        <w:t>Preparedness priorities will be continuously monitored for effectiveness and appropriateness. If any changes arise what would warrant a change in the preparedness cycle; a</w:t>
      </w:r>
      <w:r w:rsidR="00BD7BD7">
        <w:t>n</w:t>
      </w:r>
      <w:r>
        <w:t xml:space="preserve"> Integrated Preparedness Plan Workshop will be held to address said changes and update the priorities accordingly. Any updates or changes during the preparedness cycle does not alter the cycle dates/timeframe</w:t>
      </w:r>
      <w:r w:rsidR="00B61E21">
        <w:t>.</w:t>
      </w:r>
      <w:r w:rsidR="00075AAD">
        <w:br w:type="page"/>
      </w:r>
    </w:p>
    <w:p w14:paraId="646CA90D" w14:textId="350A8C66" w:rsidR="00075AAD" w:rsidRDefault="00075AAD" w:rsidP="00075AAD">
      <w:pPr>
        <w:pStyle w:val="Heading1"/>
      </w:pPr>
      <w:r>
        <w:lastRenderedPageBreak/>
        <w:t>Program Reporting</w:t>
      </w:r>
    </w:p>
    <w:p w14:paraId="3C1D1D43" w14:textId="32A360B2" w:rsidR="00075AAD" w:rsidRDefault="00075AAD" w:rsidP="00183E11">
      <w:r w:rsidRPr="00075AAD">
        <w:t xml:space="preserve">By continuously monitoring improvement actions, </w:t>
      </w:r>
      <w:proofErr w:type="spellStart"/>
      <w:r w:rsidR="00937EAF">
        <w:t>SafetyU</w:t>
      </w:r>
      <w:proofErr w:type="spellEnd"/>
      <w:r w:rsidRPr="00075AAD">
        <w:t xml:space="preserve"> can periodically examine capabilities to ensure they are sufficient, accurate, and effective to handle the threats, hazards, and risks facing the </w:t>
      </w:r>
      <w:r w:rsidR="005D15E8">
        <w:t>company</w:t>
      </w:r>
      <w:r w:rsidRPr="00075AAD">
        <w:t xml:space="preserve"> and can inform future Integrated Preparedness Cycle activities</w:t>
      </w:r>
      <w:r>
        <w:t>.</w:t>
      </w:r>
    </w:p>
    <w:p w14:paraId="2408D752" w14:textId="264DBF66" w:rsidR="00075AAD" w:rsidRDefault="00937EAF" w:rsidP="001C25A9">
      <w:pPr>
        <w:pStyle w:val="Heading3"/>
      </w:pPr>
      <w:r>
        <w:t>Safety University</w:t>
      </w:r>
      <w:r w:rsidR="001C25A9">
        <w:t xml:space="preserve"> will use the following actions as part of program reporting procedures</w:t>
      </w:r>
      <w:r w:rsidR="00075AAD">
        <w:t>:</w:t>
      </w:r>
    </w:p>
    <w:p w14:paraId="5498CA3C" w14:textId="45930780" w:rsidR="001C25A9" w:rsidRDefault="001C25A9" w:rsidP="001C25A9">
      <w:pPr>
        <w:pStyle w:val="ListParagraph"/>
        <w:numPr>
          <w:ilvl w:val="0"/>
          <w:numId w:val="24"/>
        </w:numPr>
      </w:pPr>
      <w:r>
        <w:t xml:space="preserve">The Business Continuity Department will compile and record areas for improvement, lessons-learned, and potential best practices identified from exercises and real-world </w:t>
      </w:r>
      <w:proofErr w:type="gramStart"/>
      <w:r>
        <w:t>incidents;</w:t>
      </w:r>
      <w:proofErr w:type="gramEnd"/>
    </w:p>
    <w:p w14:paraId="049343D5" w14:textId="1CCA5F4E" w:rsidR="001C25A9" w:rsidRDefault="001C25A9" w:rsidP="001C25A9">
      <w:pPr>
        <w:pStyle w:val="ListParagraph"/>
        <w:numPr>
          <w:ilvl w:val="0"/>
          <w:numId w:val="24"/>
        </w:numPr>
      </w:pPr>
      <w:r>
        <w:t>Identify which actions are needed to address areas for improvement using the following questions:</w:t>
      </w:r>
    </w:p>
    <w:p w14:paraId="209DE24D" w14:textId="78BB48F6" w:rsidR="001C25A9" w:rsidRDefault="001C25A9" w:rsidP="001C25A9">
      <w:pPr>
        <w:pStyle w:val="ListParagraph"/>
        <w:numPr>
          <w:ilvl w:val="1"/>
          <w:numId w:val="24"/>
        </w:numPr>
      </w:pPr>
      <w:r>
        <w:t>What changes need to be made to plans and procedures?</w:t>
      </w:r>
    </w:p>
    <w:p w14:paraId="63FF65FC" w14:textId="06AA4248" w:rsidR="001C25A9" w:rsidRDefault="001C25A9" w:rsidP="001C25A9">
      <w:pPr>
        <w:pStyle w:val="ListParagraph"/>
        <w:numPr>
          <w:ilvl w:val="1"/>
          <w:numId w:val="24"/>
        </w:numPr>
      </w:pPr>
      <w:r>
        <w:t>What changes need to be made to organizational structures?</w:t>
      </w:r>
    </w:p>
    <w:p w14:paraId="57F84F5C" w14:textId="1BFF4F63" w:rsidR="001C25A9" w:rsidRDefault="001C25A9" w:rsidP="001C25A9">
      <w:pPr>
        <w:pStyle w:val="ListParagraph"/>
        <w:numPr>
          <w:ilvl w:val="1"/>
          <w:numId w:val="24"/>
        </w:numPr>
      </w:pPr>
      <w:r>
        <w:t>What changes to equipment or resources are needed?</w:t>
      </w:r>
    </w:p>
    <w:p w14:paraId="6C095BF4" w14:textId="77672840" w:rsidR="001C25A9" w:rsidRDefault="001C25A9" w:rsidP="001C25A9">
      <w:pPr>
        <w:pStyle w:val="ListParagraph"/>
        <w:numPr>
          <w:ilvl w:val="1"/>
          <w:numId w:val="24"/>
        </w:numPr>
      </w:pPr>
      <w:r>
        <w:t>What training can be leveraged to increase knowledge?</w:t>
      </w:r>
    </w:p>
    <w:p w14:paraId="3E19902F" w14:textId="1DAAE93D" w:rsidR="001C25A9" w:rsidRDefault="001C25A9" w:rsidP="001C25A9">
      <w:pPr>
        <w:pStyle w:val="ListParagraph"/>
        <w:numPr>
          <w:ilvl w:val="0"/>
          <w:numId w:val="24"/>
        </w:numPr>
      </w:pPr>
      <w:r>
        <w:t>Align actions to capabilities to allow for the measurement of the effect on corresponding</w:t>
      </w:r>
      <w:r w:rsidR="007B6478">
        <w:t xml:space="preserve"> </w:t>
      </w:r>
      <w:proofErr w:type="gramStart"/>
      <w:r>
        <w:t>capabilities;</w:t>
      </w:r>
      <w:proofErr w:type="gramEnd"/>
    </w:p>
    <w:p w14:paraId="75BD2E51" w14:textId="0011CC71" w:rsidR="001C25A9" w:rsidRDefault="001C25A9" w:rsidP="001C25A9">
      <w:pPr>
        <w:pStyle w:val="ListParagraph"/>
        <w:numPr>
          <w:ilvl w:val="0"/>
          <w:numId w:val="24"/>
        </w:numPr>
      </w:pPr>
      <w:r>
        <w:t>Prioritize and assign SMART corrective actions to one primary stakeholder to the greatest extent</w:t>
      </w:r>
      <w:r w:rsidR="007B6478">
        <w:t xml:space="preserve"> </w:t>
      </w:r>
      <w:r>
        <w:t>possible; and</w:t>
      </w:r>
    </w:p>
    <w:p w14:paraId="2161BEDA" w14:textId="5A51CFBD" w:rsidR="00075AAD" w:rsidRDefault="001C25A9" w:rsidP="001C25A9">
      <w:pPr>
        <w:pStyle w:val="ListParagraph"/>
        <w:numPr>
          <w:ilvl w:val="0"/>
          <w:numId w:val="24"/>
        </w:numPr>
      </w:pPr>
      <w:r>
        <w:t xml:space="preserve">All corrective actions will be tracked and reported on in a summary report provided to </w:t>
      </w:r>
      <w:r w:rsidR="00937EAF">
        <w:t>company’s</w:t>
      </w:r>
      <w:r>
        <w:t xml:space="preserve"> senior leaders and applicable stakeholders on, at least, a</w:t>
      </w:r>
      <w:r w:rsidR="007B6478">
        <w:t>n</w:t>
      </w:r>
      <w:r>
        <w:t xml:space="preserve"> annual basis.</w:t>
      </w:r>
    </w:p>
    <w:p w14:paraId="3AF960FE" w14:textId="77777777" w:rsidR="00BD260D" w:rsidRDefault="00BD260D">
      <w:pPr>
        <w:spacing w:after="160" w:line="259" w:lineRule="auto"/>
        <w:rPr>
          <w:rFonts w:ascii="Calibri" w:eastAsiaTheme="majorEastAsia" w:hAnsi="Calibri" w:cstheme="majorBidi"/>
          <w:b/>
          <w:caps/>
          <w:color w:val="076191"/>
          <w:sz w:val="36"/>
          <w:szCs w:val="32"/>
        </w:rPr>
      </w:pPr>
      <w:r>
        <w:br w:type="page"/>
      </w:r>
    </w:p>
    <w:p w14:paraId="2E3B961E" w14:textId="799A9956" w:rsidR="00AD2037" w:rsidRDefault="007B6478" w:rsidP="00E412FF">
      <w:pPr>
        <w:pStyle w:val="Heading1"/>
      </w:pPr>
      <w:r>
        <w:lastRenderedPageBreak/>
        <w:t>Multi-Year Integrated Preparedness Schedule</w:t>
      </w:r>
    </w:p>
    <w:p w14:paraId="4332FA45" w14:textId="59324613" w:rsidR="00E412FF" w:rsidRPr="00E412FF" w:rsidRDefault="00E412FF" w:rsidP="00E412FF">
      <w:pPr>
        <w:pStyle w:val="Heading2"/>
      </w:pPr>
      <w:r>
        <w:t>202</w:t>
      </w:r>
      <w:r w:rsidR="00937EAF">
        <w:t>X</w:t>
      </w:r>
      <w:r>
        <w:t xml:space="preserve"> Calendar Year Schedule</w:t>
      </w:r>
    </w:p>
    <w:tbl>
      <w:tblPr>
        <w:tblStyle w:val="TableGrid"/>
        <w:tblW w:w="5000" w:type="pct"/>
        <w:tblLook w:val="04A0" w:firstRow="1" w:lastRow="0" w:firstColumn="1" w:lastColumn="0" w:noHBand="0" w:noVBand="1"/>
      </w:tblPr>
      <w:tblGrid>
        <w:gridCol w:w="1300"/>
        <w:gridCol w:w="2633"/>
        <w:gridCol w:w="2783"/>
        <w:gridCol w:w="2634"/>
      </w:tblGrid>
      <w:tr w:rsidR="00713344" w:rsidRPr="0002326D" w14:paraId="38CAAB51" w14:textId="77777777" w:rsidTr="00CB01C0">
        <w:tc>
          <w:tcPr>
            <w:tcW w:w="1027" w:type="dxa"/>
            <w:shd w:val="clear" w:color="auto" w:fill="186EFF"/>
            <w:vAlign w:val="center"/>
          </w:tcPr>
          <w:p w14:paraId="38BEFDE9" w14:textId="1A279631" w:rsidR="004123E6" w:rsidRPr="0002326D" w:rsidRDefault="004123E6" w:rsidP="007B6478">
            <w:pPr>
              <w:spacing w:after="0"/>
              <w:rPr>
                <w:b/>
                <w:bCs/>
                <w:color w:val="FFFFFF" w:themeColor="background1"/>
                <w:sz w:val="22"/>
                <w:szCs w:val="22"/>
              </w:rPr>
            </w:pPr>
            <w:r w:rsidRPr="0002326D">
              <w:rPr>
                <w:b/>
                <w:bCs/>
                <w:color w:val="FFFFFF" w:themeColor="background1"/>
                <w:sz w:val="22"/>
                <w:szCs w:val="22"/>
              </w:rPr>
              <w:t>Activity</w:t>
            </w:r>
          </w:p>
        </w:tc>
        <w:tc>
          <w:tcPr>
            <w:tcW w:w="2080" w:type="dxa"/>
            <w:shd w:val="clear" w:color="auto" w:fill="186EFF"/>
            <w:vAlign w:val="center"/>
          </w:tcPr>
          <w:p w14:paraId="121F9AAE" w14:textId="0F5FEA77" w:rsidR="004123E6" w:rsidRPr="0002326D" w:rsidRDefault="00A57737" w:rsidP="007B6478">
            <w:pPr>
              <w:spacing w:after="0"/>
              <w:jc w:val="center"/>
              <w:rPr>
                <w:b/>
                <w:bCs/>
                <w:color w:val="FFFFFF" w:themeColor="background1"/>
                <w:sz w:val="22"/>
                <w:szCs w:val="22"/>
              </w:rPr>
            </w:pPr>
            <w:r w:rsidRPr="0002326D">
              <w:rPr>
                <w:b/>
                <w:bCs/>
                <w:color w:val="FFFFFF" w:themeColor="background1"/>
                <w:sz w:val="22"/>
                <w:szCs w:val="22"/>
              </w:rPr>
              <w:t>IT Resiliency</w:t>
            </w:r>
          </w:p>
        </w:tc>
        <w:tc>
          <w:tcPr>
            <w:tcW w:w="2081" w:type="dxa"/>
            <w:shd w:val="clear" w:color="auto" w:fill="186EFF"/>
            <w:vAlign w:val="center"/>
          </w:tcPr>
          <w:p w14:paraId="617DC02E" w14:textId="2CD27F1C" w:rsidR="004123E6" w:rsidRPr="0002326D" w:rsidRDefault="004123E6" w:rsidP="007B6478">
            <w:pPr>
              <w:spacing w:after="0"/>
              <w:jc w:val="center"/>
              <w:rPr>
                <w:b/>
                <w:bCs/>
                <w:color w:val="FFFFFF" w:themeColor="background1"/>
                <w:sz w:val="22"/>
                <w:szCs w:val="22"/>
              </w:rPr>
            </w:pPr>
            <w:r w:rsidRPr="0002326D">
              <w:rPr>
                <w:b/>
                <w:bCs/>
                <w:color w:val="FFFFFF" w:themeColor="background1"/>
                <w:sz w:val="22"/>
                <w:szCs w:val="22"/>
              </w:rPr>
              <w:t>Incident Management</w:t>
            </w:r>
          </w:p>
        </w:tc>
        <w:tc>
          <w:tcPr>
            <w:tcW w:w="2081" w:type="dxa"/>
            <w:shd w:val="clear" w:color="auto" w:fill="186EFF"/>
            <w:vAlign w:val="center"/>
          </w:tcPr>
          <w:p w14:paraId="30427CAE" w14:textId="50158240" w:rsidR="004123E6" w:rsidRPr="0002326D" w:rsidRDefault="005D15E8" w:rsidP="007B6478">
            <w:pPr>
              <w:spacing w:after="0"/>
              <w:jc w:val="center"/>
              <w:rPr>
                <w:b/>
                <w:bCs/>
                <w:color w:val="FFFFFF" w:themeColor="background1"/>
                <w:sz w:val="22"/>
                <w:szCs w:val="22"/>
              </w:rPr>
            </w:pPr>
            <w:r>
              <w:rPr>
                <w:b/>
                <w:bCs/>
                <w:color w:val="FFFFFF" w:themeColor="background1"/>
                <w:sz w:val="22"/>
                <w:szCs w:val="22"/>
              </w:rPr>
              <w:t>Mass Care Services</w:t>
            </w:r>
          </w:p>
        </w:tc>
      </w:tr>
      <w:tr w:rsidR="00713344" w:rsidRPr="0002326D" w14:paraId="06782871" w14:textId="77777777" w:rsidTr="004123E6">
        <w:trPr>
          <w:trHeight w:val="720"/>
        </w:trPr>
        <w:tc>
          <w:tcPr>
            <w:tcW w:w="1027" w:type="dxa"/>
            <w:vAlign w:val="center"/>
          </w:tcPr>
          <w:p w14:paraId="521B0749" w14:textId="00D43E7D" w:rsidR="004123E6" w:rsidRPr="0002326D" w:rsidRDefault="004123E6" w:rsidP="007B6478">
            <w:pPr>
              <w:spacing w:after="0"/>
              <w:rPr>
                <w:b/>
                <w:bCs/>
                <w:sz w:val="22"/>
                <w:szCs w:val="22"/>
              </w:rPr>
            </w:pPr>
            <w:r w:rsidRPr="0002326D">
              <w:rPr>
                <w:b/>
                <w:bCs/>
                <w:sz w:val="22"/>
                <w:szCs w:val="22"/>
              </w:rPr>
              <w:t>Plan</w:t>
            </w:r>
          </w:p>
        </w:tc>
        <w:tc>
          <w:tcPr>
            <w:tcW w:w="2080" w:type="dxa"/>
            <w:vAlign w:val="center"/>
          </w:tcPr>
          <w:p w14:paraId="43A64FE1" w14:textId="33ADE63B" w:rsidR="004123E6" w:rsidRPr="0002326D" w:rsidRDefault="00D02673" w:rsidP="00713344">
            <w:pPr>
              <w:pStyle w:val="ListParagraph"/>
              <w:numPr>
                <w:ilvl w:val="0"/>
                <w:numId w:val="21"/>
              </w:numPr>
              <w:spacing w:after="0"/>
              <w:ind w:left="189" w:hanging="180"/>
              <w:rPr>
                <w:sz w:val="22"/>
                <w:szCs w:val="22"/>
              </w:rPr>
            </w:pPr>
            <w:r w:rsidRPr="0002326D">
              <w:rPr>
                <w:sz w:val="22"/>
                <w:szCs w:val="22"/>
              </w:rPr>
              <w:t>Q4 Active/Standby Failover Plan</w:t>
            </w:r>
          </w:p>
          <w:p w14:paraId="71F36996" w14:textId="3365C5A8" w:rsidR="00D02673" w:rsidRPr="0002326D" w:rsidRDefault="00D02673" w:rsidP="00713344">
            <w:pPr>
              <w:pStyle w:val="ListParagraph"/>
              <w:numPr>
                <w:ilvl w:val="0"/>
                <w:numId w:val="21"/>
              </w:numPr>
              <w:spacing w:after="0"/>
              <w:ind w:left="189" w:hanging="180"/>
              <w:rPr>
                <w:sz w:val="22"/>
                <w:szCs w:val="22"/>
              </w:rPr>
            </w:pPr>
            <w:r w:rsidRPr="0002326D">
              <w:rPr>
                <w:sz w:val="22"/>
                <w:szCs w:val="22"/>
              </w:rPr>
              <w:t xml:space="preserve">Q4 </w:t>
            </w:r>
            <w:r w:rsidR="00713344" w:rsidRPr="0002326D">
              <w:rPr>
                <w:sz w:val="22"/>
                <w:szCs w:val="22"/>
              </w:rPr>
              <w:t xml:space="preserve">Full Environment </w:t>
            </w:r>
            <w:r w:rsidRPr="0002326D">
              <w:rPr>
                <w:sz w:val="22"/>
                <w:szCs w:val="22"/>
              </w:rPr>
              <w:t>Backup/Restore Plan</w:t>
            </w:r>
          </w:p>
        </w:tc>
        <w:tc>
          <w:tcPr>
            <w:tcW w:w="2081" w:type="dxa"/>
            <w:vAlign w:val="center"/>
          </w:tcPr>
          <w:p w14:paraId="6B469EE7" w14:textId="77777777" w:rsidR="004123E6" w:rsidRPr="0002326D" w:rsidRDefault="0002326D" w:rsidP="0002326D">
            <w:pPr>
              <w:pStyle w:val="ListParagraph"/>
              <w:numPr>
                <w:ilvl w:val="0"/>
                <w:numId w:val="21"/>
              </w:numPr>
              <w:spacing w:after="0"/>
              <w:ind w:left="101" w:hanging="170"/>
              <w:rPr>
                <w:sz w:val="22"/>
                <w:szCs w:val="22"/>
              </w:rPr>
            </w:pPr>
            <w:r w:rsidRPr="0002326D">
              <w:rPr>
                <w:sz w:val="22"/>
                <w:szCs w:val="22"/>
              </w:rPr>
              <w:t xml:space="preserve">Emergency Operations Plan and Annexes/Appendices </w:t>
            </w:r>
          </w:p>
          <w:p w14:paraId="2226992E" w14:textId="1F20C6B8" w:rsidR="0002326D" w:rsidRPr="0002326D" w:rsidRDefault="0002326D" w:rsidP="0002326D">
            <w:pPr>
              <w:pStyle w:val="ListParagraph"/>
              <w:numPr>
                <w:ilvl w:val="0"/>
                <w:numId w:val="21"/>
              </w:numPr>
              <w:spacing w:after="0"/>
              <w:ind w:left="101" w:hanging="170"/>
              <w:rPr>
                <w:sz w:val="22"/>
                <w:szCs w:val="22"/>
              </w:rPr>
            </w:pPr>
            <w:r w:rsidRPr="0002326D">
              <w:rPr>
                <w:sz w:val="22"/>
                <w:szCs w:val="22"/>
              </w:rPr>
              <w:t>Corporate Crisis Communications Plan</w:t>
            </w:r>
          </w:p>
        </w:tc>
        <w:tc>
          <w:tcPr>
            <w:tcW w:w="2081" w:type="dxa"/>
            <w:vAlign w:val="center"/>
          </w:tcPr>
          <w:p w14:paraId="3DCF2C96" w14:textId="33527DC7" w:rsidR="004123E6" w:rsidRPr="0002326D" w:rsidRDefault="00296846" w:rsidP="007B6478">
            <w:pPr>
              <w:spacing w:after="0"/>
              <w:rPr>
                <w:sz w:val="22"/>
                <w:szCs w:val="22"/>
              </w:rPr>
            </w:pPr>
            <w:r w:rsidRPr="0002326D">
              <w:rPr>
                <w:sz w:val="22"/>
                <w:szCs w:val="22"/>
              </w:rPr>
              <w:t xml:space="preserve">Develop comprehensive </w:t>
            </w:r>
            <w:r w:rsidR="005D15E8">
              <w:rPr>
                <w:sz w:val="22"/>
                <w:szCs w:val="22"/>
              </w:rPr>
              <w:t>emergency infectious disease plan</w:t>
            </w:r>
          </w:p>
        </w:tc>
      </w:tr>
      <w:tr w:rsidR="00713344" w:rsidRPr="0002326D" w14:paraId="3ACC5529" w14:textId="77777777" w:rsidTr="004123E6">
        <w:trPr>
          <w:trHeight w:val="720"/>
        </w:trPr>
        <w:tc>
          <w:tcPr>
            <w:tcW w:w="1027" w:type="dxa"/>
            <w:shd w:val="clear" w:color="auto" w:fill="D9E2F3" w:themeFill="accent1" w:themeFillTint="33"/>
            <w:vAlign w:val="center"/>
          </w:tcPr>
          <w:p w14:paraId="4AB41BEA" w14:textId="0D485128" w:rsidR="004123E6" w:rsidRPr="0002326D" w:rsidRDefault="004123E6" w:rsidP="007B6478">
            <w:pPr>
              <w:spacing w:after="0"/>
              <w:rPr>
                <w:b/>
                <w:bCs/>
                <w:sz w:val="22"/>
                <w:szCs w:val="22"/>
              </w:rPr>
            </w:pPr>
            <w:r w:rsidRPr="0002326D">
              <w:rPr>
                <w:b/>
                <w:bCs/>
                <w:sz w:val="22"/>
                <w:szCs w:val="22"/>
              </w:rPr>
              <w:t>Organize</w:t>
            </w:r>
          </w:p>
        </w:tc>
        <w:tc>
          <w:tcPr>
            <w:tcW w:w="2080" w:type="dxa"/>
            <w:shd w:val="clear" w:color="auto" w:fill="D9E2F3" w:themeFill="accent1" w:themeFillTint="33"/>
            <w:vAlign w:val="center"/>
          </w:tcPr>
          <w:p w14:paraId="7A9FC7EE" w14:textId="7F8EDAB2" w:rsidR="004123E6" w:rsidRPr="0002326D" w:rsidRDefault="00713344" w:rsidP="007B6478">
            <w:pPr>
              <w:spacing w:after="0"/>
              <w:rPr>
                <w:sz w:val="22"/>
                <w:szCs w:val="22"/>
              </w:rPr>
            </w:pPr>
            <w:r w:rsidRPr="0002326D">
              <w:rPr>
                <w:sz w:val="22"/>
                <w:szCs w:val="22"/>
              </w:rPr>
              <w:t>Establish a Restore Taskforce</w:t>
            </w:r>
          </w:p>
        </w:tc>
        <w:tc>
          <w:tcPr>
            <w:tcW w:w="2081" w:type="dxa"/>
            <w:shd w:val="clear" w:color="auto" w:fill="D9E2F3" w:themeFill="accent1" w:themeFillTint="33"/>
            <w:vAlign w:val="center"/>
          </w:tcPr>
          <w:p w14:paraId="5EC5F330" w14:textId="0F1629D4" w:rsidR="004123E6" w:rsidRPr="0002326D" w:rsidRDefault="008310EE" w:rsidP="007B6478">
            <w:pPr>
              <w:spacing w:after="0"/>
              <w:rPr>
                <w:sz w:val="22"/>
                <w:szCs w:val="22"/>
              </w:rPr>
            </w:pPr>
            <w:r w:rsidRPr="0002326D">
              <w:rPr>
                <w:sz w:val="22"/>
                <w:szCs w:val="22"/>
              </w:rPr>
              <w:t>Develop pre-assigned Incident Management Team (IMT)</w:t>
            </w:r>
          </w:p>
        </w:tc>
        <w:tc>
          <w:tcPr>
            <w:tcW w:w="2081" w:type="dxa"/>
            <w:shd w:val="clear" w:color="auto" w:fill="D9E2F3" w:themeFill="accent1" w:themeFillTint="33"/>
            <w:vAlign w:val="center"/>
          </w:tcPr>
          <w:p w14:paraId="6B0F70D8" w14:textId="1EBA6E4E" w:rsidR="004123E6" w:rsidRPr="0002326D" w:rsidRDefault="0002326D" w:rsidP="007B6478">
            <w:pPr>
              <w:spacing w:after="0"/>
              <w:rPr>
                <w:sz w:val="22"/>
                <w:szCs w:val="22"/>
              </w:rPr>
            </w:pPr>
            <w:r>
              <w:rPr>
                <w:sz w:val="22"/>
                <w:szCs w:val="22"/>
              </w:rPr>
              <w:t>None noted</w:t>
            </w:r>
          </w:p>
        </w:tc>
      </w:tr>
      <w:tr w:rsidR="00713344" w:rsidRPr="0002326D" w14:paraId="2E0028E7" w14:textId="77777777" w:rsidTr="004123E6">
        <w:trPr>
          <w:trHeight w:val="720"/>
        </w:trPr>
        <w:tc>
          <w:tcPr>
            <w:tcW w:w="1027" w:type="dxa"/>
            <w:vAlign w:val="center"/>
          </w:tcPr>
          <w:p w14:paraId="4BEBE175" w14:textId="35BDB8CA" w:rsidR="004123E6" w:rsidRPr="0002326D" w:rsidRDefault="004123E6" w:rsidP="007B6478">
            <w:pPr>
              <w:spacing w:after="0"/>
              <w:rPr>
                <w:b/>
                <w:bCs/>
                <w:sz w:val="22"/>
                <w:szCs w:val="22"/>
              </w:rPr>
            </w:pPr>
            <w:r w:rsidRPr="0002326D">
              <w:rPr>
                <w:b/>
                <w:bCs/>
                <w:sz w:val="22"/>
                <w:szCs w:val="22"/>
              </w:rPr>
              <w:t>Equip</w:t>
            </w:r>
          </w:p>
        </w:tc>
        <w:tc>
          <w:tcPr>
            <w:tcW w:w="2080" w:type="dxa"/>
            <w:vAlign w:val="center"/>
          </w:tcPr>
          <w:p w14:paraId="33351DFF" w14:textId="17928A6B" w:rsidR="004123E6" w:rsidRPr="0002326D" w:rsidRDefault="00A57737" w:rsidP="007B6478">
            <w:pPr>
              <w:spacing w:after="0"/>
              <w:rPr>
                <w:sz w:val="22"/>
                <w:szCs w:val="22"/>
              </w:rPr>
            </w:pPr>
            <w:r w:rsidRPr="0002326D">
              <w:rPr>
                <w:sz w:val="22"/>
                <w:szCs w:val="22"/>
              </w:rPr>
              <w:t xml:space="preserve">Operationalize </w:t>
            </w:r>
            <w:r w:rsidR="00D276B0">
              <w:rPr>
                <w:sz w:val="22"/>
                <w:szCs w:val="22"/>
              </w:rPr>
              <w:t>backup data center</w:t>
            </w:r>
            <w:r w:rsidRPr="0002326D">
              <w:rPr>
                <w:sz w:val="22"/>
                <w:szCs w:val="22"/>
              </w:rPr>
              <w:t xml:space="preserve"> with full failover capability</w:t>
            </w:r>
          </w:p>
        </w:tc>
        <w:tc>
          <w:tcPr>
            <w:tcW w:w="2081" w:type="dxa"/>
            <w:vAlign w:val="center"/>
          </w:tcPr>
          <w:p w14:paraId="17CC86F9" w14:textId="73D238BD" w:rsidR="004123E6" w:rsidRPr="0002326D" w:rsidRDefault="0002326D" w:rsidP="007B6478">
            <w:pPr>
              <w:spacing w:after="0"/>
              <w:rPr>
                <w:sz w:val="22"/>
                <w:szCs w:val="22"/>
              </w:rPr>
            </w:pPr>
            <w:r>
              <w:rPr>
                <w:sz w:val="22"/>
                <w:szCs w:val="22"/>
              </w:rPr>
              <w:t>None noted</w:t>
            </w:r>
          </w:p>
        </w:tc>
        <w:tc>
          <w:tcPr>
            <w:tcW w:w="2081" w:type="dxa"/>
            <w:vAlign w:val="center"/>
          </w:tcPr>
          <w:p w14:paraId="1C62AEF0" w14:textId="71266F17" w:rsidR="004123E6" w:rsidRPr="0002326D" w:rsidRDefault="0002326D" w:rsidP="007B6478">
            <w:pPr>
              <w:spacing w:after="0"/>
              <w:rPr>
                <w:sz w:val="22"/>
                <w:szCs w:val="22"/>
              </w:rPr>
            </w:pPr>
            <w:r>
              <w:rPr>
                <w:sz w:val="22"/>
                <w:szCs w:val="22"/>
              </w:rPr>
              <w:t>None noted</w:t>
            </w:r>
          </w:p>
        </w:tc>
      </w:tr>
      <w:tr w:rsidR="00713344" w:rsidRPr="0002326D" w14:paraId="0CD44BB2" w14:textId="77777777" w:rsidTr="004123E6">
        <w:trPr>
          <w:trHeight w:val="720"/>
        </w:trPr>
        <w:tc>
          <w:tcPr>
            <w:tcW w:w="1027" w:type="dxa"/>
            <w:shd w:val="clear" w:color="auto" w:fill="D9E2F3" w:themeFill="accent1" w:themeFillTint="33"/>
            <w:vAlign w:val="center"/>
          </w:tcPr>
          <w:p w14:paraId="572DE528" w14:textId="04BB85AD" w:rsidR="004123E6" w:rsidRPr="0002326D" w:rsidRDefault="004123E6" w:rsidP="007B6478">
            <w:pPr>
              <w:spacing w:after="0"/>
              <w:rPr>
                <w:b/>
                <w:bCs/>
                <w:sz w:val="22"/>
                <w:szCs w:val="22"/>
              </w:rPr>
            </w:pPr>
            <w:r w:rsidRPr="0002326D">
              <w:rPr>
                <w:b/>
                <w:bCs/>
                <w:sz w:val="22"/>
                <w:szCs w:val="22"/>
              </w:rPr>
              <w:t>Train</w:t>
            </w:r>
          </w:p>
        </w:tc>
        <w:tc>
          <w:tcPr>
            <w:tcW w:w="2080" w:type="dxa"/>
            <w:shd w:val="clear" w:color="auto" w:fill="D9E2F3" w:themeFill="accent1" w:themeFillTint="33"/>
            <w:vAlign w:val="center"/>
          </w:tcPr>
          <w:p w14:paraId="16BD1510" w14:textId="641229AB" w:rsidR="004123E6" w:rsidRPr="0002326D" w:rsidRDefault="00713344" w:rsidP="007B6478">
            <w:pPr>
              <w:spacing w:after="0"/>
              <w:rPr>
                <w:sz w:val="22"/>
                <w:szCs w:val="22"/>
              </w:rPr>
            </w:pPr>
            <w:r w:rsidRPr="0002326D">
              <w:rPr>
                <w:sz w:val="22"/>
                <w:szCs w:val="22"/>
              </w:rPr>
              <w:t>Q3-Q4 Backup/Restore Procedures</w:t>
            </w:r>
          </w:p>
        </w:tc>
        <w:tc>
          <w:tcPr>
            <w:tcW w:w="2081" w:type="dxa"/>
            <w:shd w:val="clear" w:color="auto" w:fill="D9E2F3" w:themeFill="accent1" w:themeFillTint="33"/>
            <w:vAlign w:val="center"/>
          </w:tcPr>
          <w:p w14:paraId="74438155" w14:textId="7C339D56" w:rsidR="0002326D" w:rsidRPr="00D276B0" w:rsidRDefault="0002326D" w:rsidP="005F653B">
            <w:pPr>
              <w:pStyle w:val="ListParagraph"/>
              <w:numPr>
                <w:ilvl w:val="0"/>
                <w:numId w:val="29"/>
              </w:numPr>
              <w:spacing w:after="0"/>
              <w:ind w:left="125" w:hanging="180"/>
              <w:rPr>
                <w:sz w:val="22"/>
                <w:szCs w:val="22"/>
              </w:rPr>
            </w:pPr>
            <w:r w:rsidRPr="00D276B0">
              <w:t>ICS Awareness</w:t>
            </w:r>
            <w:r w:rsidRPr="00D276B0">
              <w:rPr>
                <w:sz w:val="22"/>
                <w:szCs w:val="22"/>
              </w:rPr>
              <w:t xml:space="preserve"> </w:t>
            </w:r>
          </w:p>
          <w:p w14:paraId="28D0AB8C" w14:textId="6327E134" w:rsidR="005F653B" w:rsidRPr="00D276B0" w:rsidRDefault="008310EE" w:rsidP="0002326D">
            <w:pPr>
              <w:pStyle w:val="ListParagraph"/>
              <w:numPr>
                <w:ilvl w:val="0"/>
                <w:numId w:val="29"/>
              </w:numPr>
              <w:spacing w:after="0"/>
              <w:ind w:left="125" w:hanging="180"/>
              <w:rPr>
                <w:sz w:val="22"/>
                <w:szCs w:val="22"/>
              </w:rPr>
            </w:pPr>
            <w:r w:rsidRPr="00D276B0">
              <w:t>ICS 100, 200, 700</w:t>
            </w:r>
            <w:r w:rsidR="007038D3" w:rsidRPr="00D276B0">
              <w:rPr>
                <w:sz w:val="22"/>
                <w:szCs w:val="22"/>
              </w:rPr>
              <w:t xml:space="preserve"> </w:t>
            </w:r>
          </w:p>
          <w:p w14:paraId="6EDDBF02" w14:textId="22562885" w:rsidR="007038D3" w:rsidRPr="0002326D" w:rsidRDefault="007038D3" w:rsidP="0002326D">
            <w:pPr>
              <w:pStyle w:val="ListParagraph"/>
              <w:numPr>
                <w:ilvl w:val="0"/>
                <w:numId w:val="29"/>
              </w:numPr>
              <w:spacing w:after="0"/>
              <w:ind w:left="125" w:hanging="180"/>
              <w:rPr>
                <w:sz w:val="22"/>
                <w:szCs w:val="22"/>
              </w:rPr>
            </w:pPr>
            <w:r>
              <w:rPr>
                <w:sz w:val="22"/>
                <w:szCs w:val="22"/>
              </w:rPr>
              <w:t>Pilot ICS Course</w:t>
            </w:r>
          </w:p>
        </w:tc>
        <w:tc>
          <w:tcPr>
            <w:tcW w:w="2081" w:type="dxa"/>
            <w:shd w:val="clear" w:color="auto" w:fill="D9E2F3" w:themeFill="accent1" w:themeFillTint="33"/>
            <w:vAlign w:val="center"/>
          </w:tcPr>
          <w:p w14:paraId="4BF59268" w14:textId="4CB5FB7E" w:rsidR="00AA36F7" w:rsidRPr="0002326D" w:rsidRDefault="005D15E8" w:rsidP="00AA36F7">
            <w:pPr>
              <w:pStyle w:val="ListParagraph"/>
              <w:numPr>
                <w:ilvl w:val="0"/>
                <w:numId w:val="29"/>
              </w:numPr>
              <w:spacing w:after="0"/>
              <w:ind w:left="142" w:hanging="180"/>
              <w:rPr>
                <w:sz w:val="22"/>
                <w:szCs w:val="22"/>
              </w:rPr>
            </w:pPr>
            <w:r>
              <w:rPr>
                <w:sz w:val="22"/>
                <w:szCs w:val="22"/>
              </w:rPr>
              <w:t>TBD</w:t>
            </w:r>
          </w:p>
        </w:tc>
      </w:tr>
      <w:tr w:rsidR="00713344" w:rsidRPr="0002326D" w14:paraId="47D339AF" w14:textId="77777777" w:rsidTr="004123E6">
        <w:trPr>
          <w:trHeight w:val="720"/>
        </w:trPr>
        <w:tc>
          <w:tcPr>
            <w:tcW w:w="1027" w:type="dxa"/>
            <w:vAlign w:val="center"/>
          </w:tcPr>
          <w:p w14:paraId="47689540" w14:textId="46D8B391" w:rsidR="004123E6" w:rsidRPr="0002326D" w:rsidRDefault="004123E6" w:rsidP="007B6478">
            <w:pPr>
              <w:spacing w:after="0"/>
              <w:rPr>
                <w:b/>
                <w:bCs/>
                <w:sz w:val="22"/>
                <w:szCs w:val="22"/>
              </w:rPr>
            </w:pPr>
            <w:r w:rsidRPr="0002326D">
              <w:rPr>
                <w:b/>
                <w:bCs/>
                <w:sz w:val="22"/>
                <w:szCs w:val="22"/>
              </w:rPr>
              <w:t>Exercise</w:t>
            </w:r>
          </w:p>
        </w:tc>
        <w:tc>
          <w:tcPr>
            <w:tcW w:w="2080" w:type="dxa"/>
            <w:vAlign w:val="center"/>
          </w:tcPr>
          <w:p w14:paraId="412EBA1E" w14:textId="223980AC" w:rsidR="004123E6" w:rsidRPr="0002326D" w:rsidRDefault="008D55BA" w:rsidP="00713344">
            <w:pPr>
              <w:pStyle w:val="ListParagraph"/>
              <w:numPr>
                <w:ilvl w:val="0"/>
                <w:numId w:val="21"/>
              </w:numPr>
              <w:spacing w:after="0"/>
              <w:ind w:left="189" w:hanging="201"/>
              <w:rPr>
                <w:sz w:val="22"/>
                <w:szCs w:val="22"/>
              </w:rPr>
            </w:pPr>
            <w:r>
              <w:rPr>
                <w:sz w:val="22"/>
                <w:szCs w:val="22"/>
              </w:rPr>
              <w:t>Q2-Q3</w:t>
            </w:r>
            <w:r w:rsidR="004123E6" w:rsidRPr="0002326D">
              <w:rPr>
                <w:sz w:val="22"/>
                <w:szCs w:val="22"/>
              </w:rPr>
              <w:t xml:space="preserve"> – Disaster Recovery Full Scale Exercise</w:t>
            </w:r>
          </w:p>
          <w:p w14:paraId="12328AD3" w14:textId="4B82492D" w:rsidR="00D02673" w:rsidRPr="0002326D" w:rsidRDefault="00713344" w:rsidP="00713344">
            <w:pPr>
              <w:pStyle w:val="ListParagraph"/>
              <w:numPr>
                <w:ilvl w:val="0"/>
                <w:numId w:val="21"/>
              </w:numPr>
              <w:spacing w:after="0"/>
              <w:ind w:left="189" w:hanging="201"/>
              <w:rPr>
                <w:sz w:val="22"/>
                <w:szCs w:val="22"/>
              </w:rPr>
            </w:pPr>
            <w:r w:rsidRPr="0002326D">
              <w:rPr>
                <w:sz w:val="22"/>
                <w:szCs w:val="22"/>
              </w:rPr>
              <w:t xml:space="preserve">Q4 </w:t>
            </w:r>
            <w:r w:rsidR="00C7539F" w:rsidRPr="0002326D">
              <w:rPr>
                <w:sz w:val="22"/>
                <w:szCs w:val="22"/>
              </w:rPr>
              <w:t xml:space="preserve">Full Environment </w:t>
            </w:r>
            <w:r w:rsidR="00D02673" w:rsidRPr="0002326D">
              <w:rPr>
                <w:sz w:val="22"/>
                <w:szCs w:val="22"/>
              </w:rPr>
              <w:t>Backup/Restore</w:t>
            </w:r>
            <w:r w:rsidR="00115B78" w:rsidRPr="0002326D">
              <w:rPr>
                <w:sz w:val="22"/>
                <w:szCs w:val="22"/>
              </w:rPr>
              <w:t xml:space="preserve"> (</w:t>
            </w:r>
            <w:r w:rsidR="00F3139F" w:rsidRPr="0002326D">
              <w:rPr>
                <w:sz w:val="22"/>
                <w:szCs w:val="22"/>
              </w:rPr>
              <w:t xml:space="preserve">onsite/ </w:t>
            </w:r>
            <w:r w:rsidR="00D276B0">
              <w:rPr>
                <w:sz w:val="22"/>
                <w:szCs w:val="22"/>
              </w:rPr>
              <w:t>backup data center</w:t>
            </w:r>
            <w:r w:rsidR="00115B78" w:rsidRPr="0002326D">
              <w:rPr>
                <w:sz w:val="22"/>
                <w:szCs w:val="22"/>
              </w:rPr>
              <w:t>)</w:t>
            </w:r>
            <w:r w:rsidR="00C7539F" w:rsidRPr="0002326D">
              <w:rPr>
                <w:sz w:val="22"/>
                <w:szCs w:val="22"/>
              </w:rPr>
              <w:t xml:space="preserve"> </w:t>
            </w:r>
            <w:r w:rsidR="00D02673" w:rsidRPr="0002326D">
              <w:rPr>
                <w:sz w:val="22"/>
                <w:szCs w:val="22"/>
              </w:rPr>
              <w:t>Test</w:t>
            </w:r>
          </w:p>
        </w:tc>
        <w:tc>
          <w:tcPr>
            <w:tcW w:w="2081" w:type="dxa"/>
            <w:vAlign w:val="center"/>
          </w:tcPr>
          <w:p w14:paraId="1F090BD0" w14:textId="0B511711" w:rsidR="004123E6" w:rsidRPr="0002326D" w:rsidRDefault="00EB7CDD" w:rsidP="00DE1594">
            <w:pPr>
              <w:pStyle w:val="ListParagraph"/>
              <w:numPr>
                <w:ilvl w:val="0"/>
                <w:numId w:val="21"/>
              </w:numPr>
              <w:spacing w:after="0"/>
              <w:ind w:left="121" w:hanging="165"/>
              <w:rPr>
                <w:sz w:val="22"/>
                <w:szCs w:val="22"/>
              </w:rPr>
            </w:pPr>
            <w:r w:rsidRPr="0002326D">
              <w:rPr>
                <w:sz w:val="22"/>
                <w:szCs w:val="22"/>
              </w:rPr>
              <w:t>Q</w:t>
            </w:r>
            <w:r w:rsidR="005F653B" w:rsidRPr="0002326D">
              <w:rPr>
                <w:sz w:val="22"/>
                <w:szCs w:val="22"/>
              </w:rPr>
              <w:t>2-Q3</w:t>
            </w:r>
            <w:r w:rsidRPr="0002326D">
              <w:rPr>
                <w:sz w:val="22"/>
                <w:szCs w:val="22"/>
              </w:rPr>
              <w:t xml:space="preserve"> Tabletop exercise</w:t>
            </w:r>
            <w:r w:rsidR="00DE1594" w:rsidRPr="0002326D">
              <w:rPr>
                <w:sz w:val="22"/>
                <w:szCs w:val="22"/>
              </w:rPr>
              <w:t xml:space="preserve"> (TTX)</w:t>
            </w:r>
            <w:r w:rsidRPr="0002326D">
              <w:rPr>
                <w:sz w:val="22"/>
                <w:szCs w:val="22"/>
              </w:rPr>
              <w:t xml:space="preserve"> – </w:t>
            </w:r>
            <w:r w:rsidR="00DE1594" w:rsidRPr="0002326D">
              <w:rPr>
                <w:sz w:val="22"/>
                <w:szCs w:val="22"/>
              </w:rPr>
              <w:t>Active Violence</w:t>
            </w:r>
            <w:r w:rsidR="005F653B" w:rsidRPr="0002326D">
              <w:rPr>
                <w:sz w:val="22"/>
                <w:szCs w:val="22"/>
              </w:rPr>
              <w:t xml:space="preserve"> w/</w:t>
            </w:r>
            <w:r w:rsidR="00D276B0">
              <w:rPr>
                <w:sz w:val="22"/>
                <w:szCs w:val="22"/>
              </w:rPr>
              <w:t>EOC</w:t>
            </w:r>
            <w:r w:rsidR="005F653B" w:rsidRPr="0002326D">
              <w:rPr>
                <w:sz w:val="22"/>
                <w:szCs w:val="22"/>
              </w:rPr>
              <w:t xml:space="preserve"> Committee</w:t>
            </w:r>
          </w:p>
          <w:p w14:paraId="38047A93" w14:textId="6BA84A3D" w:rsidR="005F653B" w:rsidRPr="0002326D" w:rsidRDefault="005F653B" w:rsidP="00DE1594">
            <w:pPr>
              <w:pStyle w:val="ListParagraph"/>
              <w:numPr>
                <w:ilvl w:val="0"/>
                <w:numId w:val="21"/>
              </w:numPr>
              <w:spacing w:after="0"/>
              <w:ind w:left="121" w:hanging="165"/>
              <w:rPr>
                <w:sz w:val="22"/>
                <w:szCs w:val="22"/>
              </w:rPr>
            </w:pPr>
            <w:r w:rsidRPr="0002326D">
              <w:rPr>
                <w:sz w:val="22"/>
                <w:szCs w:val="22"/>
              </w:rPr>
              <w:t>Q4 Building Evacuation Drill</w:t>
            </w:r>
          </w:p>
        </w:tc>
        <w:tc>
          <w:tcPr>
            <w:tcW w:w="2081" w:type="dxa"/>
            <w:vAlign w:val="center"/>
          </w:tcPr>
          <w:p w14:paraId="1EDF1C8A" w14:textId="30516142" w:rsidR="004123E6" w:rsidRPr="0002326D" w:rsidRDefault="00AA36F7" w:rsidP="007B6478">
            <w:pPr>
              <w:spacing w:after="0"/>
              <w:rPr>
                <w:sz w:val="22"/>
                <w:szCs w:val="22"/>
              </w:rPr>
            </w:pPr>
            <w:r w:rsidRPr="0002326D">
              <w:rPr>
                <w:sz w:val="22"/>
                <w:szCs w:val="22"/>
              </w:rPr>
              <w:t>Q3 Tabletop exercise (TTX) w/</w:t>
            </w:r>
            <w:r w:rsidR="00D276B0">
              <w:rPr>
                <w:sz w:val="22"/>
                <w:szCs w:val="22"/>
              </w:rPr>
              <w:t>company leadership</w:t>
            </w:r>
          </w:p>
        </w:tc>
      </w:tr>
    </w:tbl>
    <w:p w14:paraId="5ACD9A6C" w14:textId="25EE5AEC" w:rsidR="007B6478" w:rsidRDefault="007B6478" w:rsidP="00AD2037"/>
    <w:p w14:paraId="65C6E5CB" w14:textId="236496BA" w:rsidR="00606E69" w:rsidRPr="00E412FF" w:rsidRDefault="00606E69" w:rsidP="00606E69">
      <w:pPr>
        <w:pStyle w:val="Heading2"/>
      </w:pPr>
      <w:r>
        <w:t>202</w:t>
      </w:r>
      <w:r w:rsidR="00937EAF">
        <w:t>X</w:t>
      </w:r>
      <w:r>
        <w:t xml:space="preserve"> Calendar Year Schedule</w:t>
      </w:r>
    </w:p>
    <w:tbl>
      <w:tblPr>
        <w:tblStyle w:val="TableGrid"/>
        <w:tblW w:w="5000" w:type="pct"/>
        <w:tblLook w:val="04A0" w:firstRow="1" w:lastRow="0" w:firstColumn="1" w:lastColumn="0" w:noHBand="0" w:noVBand="1"/>
      </w:tblPr>
      <w:tblGrid>
        <w:gridCol w:w="1321"/>
        <w:gridCol w:w="2675"/>
        <w:gridCol w:w="2677"/>
        <w:gridCol w:w="2677"/>
      </w:tblGrid>
      <w:tr w:rsidR="004123E6" w:rsidRPr="007B6478" w14:paraId="2BF97B3B" w14:textId="77777777" w:rsidTr="00CB01C0">
        <w:trPr>
          <w:tblHeader/>
        </w:trPr>
        <w:tc>
          <w:tcPr>
            <w:tcW w:w="1027" w:type="dxa"/>
            <w:shd w:val="clear" w:color="auto" w:fill="186EFF"/>
            <w:vAlign w:val="center"/>
          </w:tcPr>
          <w:p w14:paraId="4906CCC4" w14:textId="77777777" w:rsidR="004123E6" w:rsidRPr="007B6478" w:rsidRDefault="004123E6" w:rsidP="00271ADF">
            <w:pPr>
              <w:spacing w:after="0"/>
              <w:rPr>
                <w:b/>
                <w:bCs/>
                <w:color w:val="FFFFFF" w:themeColor="background1"/>
                <w:sz w:val="22"/>
                <w:szCs w:val="22"/>
              </w:rPr>
            </w:pPr>
            <w:r w:rsidRPr="007B6478">
              <w:rPr>
                <w:b/>
                <w:bCs/>
                <w:color w:val="FFFFFF" w:themeColor="background1"/>
                <w:sz w:val="22"/>
                <w:szCs w:val="22"/>
              </w:rPr>
              <w:t>Activity</w:t>
            </w:r>
          </w:p>
        </w:tc>
        <w:tc>
          <w:tcPr>
            <w:tcW w:w="2080" w:type="dxa"/>
            <w:shd w:val="clear" w:color="auto" w:fill="186EFF"/>
            <w:vAlign w:val="center"/>
          </w:tcPr>
          <w:p w14:paraId="24EA6049" w14:textId="13EBB41E" w:rsidR="004123E6" w:rsidRPr="007B6478" w:rsidRDefault="00A57737" w:rsidP="00271ADF">
            <w:pPr>
              <w:spacing w:after="0"/>
              <w:jc w:val="center"/>
              <w:rPr>
                <w:b/>
                <w:bCs/>
                <w:color w:val="FFFFFF" w:themeColor="background1"/>
                <w:sz w:val="22"/>
                <w:szCs w:val="22"/>
              </w:rPr>
            </w:pPr>
            <w:r w:rsidRPr="00A57737">
              <w:rPr>
                <w:b/>
                <w:bCs/>
                <w:color w:val="FFFFFF" w:themeColor="background1"/>
                <w:sz w:val="22"/>
                <w:szCs w:val="22"/>
              </w:rPr>
              <w:t>IT Resiliency</w:t>
            </w:r>
          </w:p>
        </w:tc>
        <w:tc>
          <w:tcPr>
            <w:tcW w:w="2081" w:type="dxa"/>
            <w:shd w:val="clear" w:color="auto" w:fill="186EFF"/>
            <w:vAlign w:val="center"/>
          </w:tcPr>
          <w:p w14:paraId="4E7C8545" w14:textId="77777777" w:rsidR="004123E6" w:rsidRPr="007B6478" w:rsidRDefault="004123E6" w:rsidP="00271ADF">
            <w:pPr>
              <w:spacing w:after="0"/>
              <w:jc w:val="center"/>
              <w:rPr>
                <w:b/>
                <w:bCs/>
                <w:color w:val="FFFFFF" w:themeColor="background1"/>
                <w:sz w:val="22"/>
                <w:szCs w:val="22"/>
              </w:rPr>
            </w:pPr>
            <w:r>
              <w:rPr>
                <w:b/>
                <w:bCs/>
                <w:color w:val="FFFFFF" w:themeColor="background1"/>
                <w:sz w:val="22"/>
                <w:szCs w:val="22"/>
              </w:rPr>
              <w:t>Incident Management</w:t>
            </w:r>
          </w:p>
        </w:tc>
        <w:tc>
          <w:tcPr>
            <w:tcW w:w="2081" w:type="dxa"/>
            <w:shd w:val="clear" w:color="auto" w:fill="186EFF"/>
            <w:vAlign w:val="center"/>
          </w:tcPr>
          <w:p w14:paraId="1A117D1D" w14:textId="4B9A6596" w:rsidR="004123E6" w:rsidRPr="007B6478" w:rsidRDefault="005D15E8" w:rsidP="00271ADF">
            <w:pPr>
              <w:spacing w:after="0"/>
              <w:jc w:val="center"/>
              <w:rPr>
                <w:b/>
                <w:bCs/>
                <w:color w:val="FFFFFF" w:themeColor="background1"/>
                <w:sz w:val="22"/>
                <w:szCs w:val="22"/>
              </w:rPr>
            </w:pPr>
            <w:r>
              <w:rPr>
                <w:b/>
                <w:bCs/>
                <w:color w:val="FFFFFF" w:themeColor="background1"/>
                <w:sz w:val="22"/>
                <w:szCs w:val="22"/>
              </w:rPr>
              <w:t>Mass Care Services</w:t>
            </w:r>
          </w:p>
        </w:tc>
      </w:tr>
      <w:tr w:rsidR="004123E6" w:rsidRPr="007B6478" w14:paraId="096D2E05" w14:textId="77777777" w:rsidTr="00271ADF">
        <w:trPr>
          <w:trHeight w:val="720"/>
        </w:trPr>
        <w:tc>
          <w:tcPr>
            <w:tcW w:w="1027" w:type="dxa"/>
            <w:vAlign w:val="center"/>
          </w:tcPr>
          <w:p w14:paraId="1CF95B08" w14:textId="77777777" w:rsidR="004123E6" w:rsidRPr="00E412FF" w:rsidRDefault="004123E6" w:rsidP="00271ADF">
            <w:pPr>
              <w:spacing w:after="0"/>
              <w:rPr>
                <w:b/>
                <w:bCs/>
                <w:sz w:val="22"/>
                <w:szCs w:val="22"/>
              </w:rPr>
            </w:pPr>
            <w:r w:rsidRPr="00E412FF">
              <w:rPr>
                <w:b/>
                <w:bCs/>
                <w:sz w:val="22"/>
                <w:szCs w:val="22"/>
              </w:rPr>
              <w:t>Plan</w:t>
            </w:r>
          </w:p>
        </w:tc>
        <w:tc>
          <w:tcPr>
            <w:tcW w:w="2080" w:type="dxa"/>
            <w:vAlign w:val="center"/>
          </w:tcPr>
          <w:p w14:paraId="34B48350" w14:textId="0D93A185" w:rsidR="004123E6" w:rsidRPr="00115B78" w:rsidRDefault="00C7539F" w:rsidP="00111205">
            <w:pPr>
              <w:pStyle w:val="ListParagraph"/>
              <w:numPr>
                <w:ilvl w:val="0"/>
                <w:numId w:val="27"/>
              </w:numPr>
              <w:spacing w:after="0"/>
              <w:ind w:left="189" w:hanging="180"/>
              <w:rPr>
                <w:sz w:val="22"/>
                <w:szCs w:val="22"/>
              </w:rPr>
            </w:pPr>
            <w:r w:rsidRPr="00115B78">
              <w:rPr>
                <w:sz w:val="22"/>
                <w:szCs w:val="22"/>
              </w:rPr>
              <w:t xml:space="preserve">Add automation for all </w:t>
            </w:r>
            <w:r w:rsidR="00111205" w:rsidRPr="00115B78">
              <w:rPr>
                <w:sz w:val="22"/>
                <w:szCs w:val="22"/>
              </w:rPr>
              <w:t xml:space="preserve">manual </w:t>
            </w:r>
            <w:proofErr w:type="gramStart"/>
            <w:r w:rsidRPr="00115B78">
              <w:rPr>
                <w:sz w:val="22"/>
                <w:szCs w:val="22"/>
              </w:rPr>
              <w:t>activities</w:t>
            </w:r>
            <w:proofErr w:type="gramEnd"/>
          </w:p>
          <w:p w14:paraId="1533BAE6" w14:textId="77777777" w:rsidR="00111205" w:rsidRPr="00115B78" w:rsidRDefault="00111205" w:rsidP="00111205">
            <w:pPr>
              <w:pStyle w:val="ListParagraph"/>
              <w:numPr>
                <w:ilvl w:val="0"/>
                <w:numId w:val="27"/>
              </w:numPr>
              <w:spacing w:after="0"/>
              <w:ind w:left="189" w:hanging="180"/>
              <w:rPr>
                <w:sz w:val="22"/>
                <w:szCs w:val="22"/>
              </w:rPr>
            </w:pPr>
            <w:r w:rsidRPr="00115B78">
              <w:rPr>
                <w:sz w:val="22"/>
                <w:szCs w:val="22"/>
              </w:rPr>
              <w:t xml:space="preserve">Identify procedures to ensure Restore Taskforce is </w:t>
            </w:r>
            <w:proofErr w:type="gramStart"/>
            <w:r w:rsidRPr="00115B78">
              <w:rPr>
                <w:sz w:val="22"/>
                <w:szCs w:val="22"/>
              </w:rPr>
              <w:t>sustained</w:t>
            </w:r>
            <w:proofErr w:type="gramEnd"/>
          </w:p>
          <w:p w14:paraId="2525F828" w14:textId="6FA94D72" w:rsidR="00115B78" w:rsidRPr="00111205" w:rsidRDefault="00115B78" w:rsidP="00111205">
            <w:pPr>
              <w:pStyle w:val="ListParagraph"/>
              <w:numPr>
                <w:ilvl w:val="0"/>
                <w:numId w:val="27"/>
              </w:numPr>
              <w:spacing w:after="0"/>
              <w:ind w:left="189" w:hanging="180"/>
            </w:pPr>
            <w:r w:rsidRPr="00115B78">
              <w:rPr>
                <w:sz w:val="22"/>
                <w:szCs w:val="22"/>
              </w:rPr>
              <w:t>Update</w:t>
            </w:r>
            <w:r>
              <w:rPr>
                <w:sz w:val="22"/>
                <w:szCs w:val="22"/>
              </w:rPr>
              <w:t xml:space="preserve"> applicable</w:t>
            </w:r>
            <w:r w:rsidRPr="00115B78">
              <w:rPr>
                <w:sz w:val="22"/>
                <w:szCs w:val="22"/>
              </w:rPr>
              <w:t xml:space="preserve"> BIAs based on </w:t>
            </w:r>
            <w:r w:rsidR="00D276B0">
              <w:rPr>
                <w:sz w:val="22"/>
                <w:szCs w:val="22"/>
              </w:rPr>
              <w:t>backup</w:t>
            </w:r>
            <w:r w:rsidRPr="00115B78">
              <w:rPr>
                <w:sz w:val="22"/>
                <w:szCs w:val="22"/>
              </w:rPr>
              <w:t xml:space="preserve"> DC’s maturing functionality</w:t>
            </w:r>
          </w:p>
        </w:tc>
        <w:tc>
          <w:tcPr>
            <w:tcW w:w="2081" w:type="dxa"/>
            <w:vAlign w:val="center"/>
          </w:tcPr>
          <w:p w14:paraId="3CADDD7D" w14:textId="227B10BE" w:rsidR="004123E6" w:rsidRPr="00111205" w:rsidRDefault="00E405D0" w:rsidP="00271ADF">
            <w:pPr>
              <w:spacing w:after="0"/>
              <w:rPr>
                <w:sz w:val="22"/>
                <w:szCs w:val="22"/>
              </w:rPr>
            </w:pPr>
            <w:r w:rsidRPr="00115B78">
              <w:rPr>
                <w:sz w:val="22"/>
                <w:szCs w:val="22"/>
              </w:rPr>
              <w:t>Update</w:t>
            </w:r>
            <w:r>
              <w:rPr>
                <w:sz w:val="22"/>
                <w:szCs w:val="22"/>
              </w:rPr>
              <w:t xml:space="preserve"> EOP and BCP in alignment with maturing company functionality</w:t>
            </w:r>
          </w:p>
        </w:tc>
        <w:tc>
          <w:tcPr>
            <w:tcW w:w="2081" w:type="dxa"/>
            <w:vAlign w:val="center"/>
          </w:tcPr>
          <w:p w14:paraId="7516DEC5" w14:textId="4B4F1B01" w:rsidR="004123E6" w:rsidRPr="00111205" w:rsidRDefault="00AA36F7" w:rsidP="00271ADF">
            <w:pPr>
              <w:spacing w:after="0"/>
              <w:rPr>
                <w:sz w:val="22"/>
                <w:szCs w:val="22"/>
              </w:rPr>
            </w:pPr>
            <w:r>
              <w:rPr>
                <w:sz w:val="22"/>
                <w:szCs w:val="22"/>
              </w:rPr>
              <w:t>None noted</w:t>
            </w:r>
          </w:p>
        </w:tc>
      </w:tr>
      <w:tr w:rsidR="004123E6" w:rsidRPr="007B6478" w14:paraId="0B14D519" w14:textId="77777777" w:rsidTr="00271ADF">
        <w:trPr>
          <w:trHeight w:val="720"/>
        </w:trPr>
        <w:tc>
          <w:tcPr>
            <w:tcW w:w="1027" w:type="dxa"/>
            <w:shd w:val="clear" w:color="auto" w:fill="D9E2F3" w:themeFill="accent1" w:themeFillTint="33"/>
            <w:vAlign w:val="center"/>
          </w:tcPr>
          <w:p w14:paraId="3C8B326F" w14:textId="77777777" w:rsidR="004123E6" w:rsidRPr="00E412FF" w:rsidRDefault="004123E6" w:rsidP="00271ADF">
            <w:pPr>
              <w:spacing w:after="0"/>
              <w:rPr>
                <w:b/>
                <w:bCs/>
                <w:sz w:val="22"/>
                <w:szCs w:val="22"/>
              </w:rPr>
            </w:pPr>
            <w:r w:rsidRPr="00E412FF">
              <w:rPr>
                <w:b/>
                <w:bCs/>
                <w:sz w:val="22"/>
                <w:szCs w:val="22"/>
              </w:rPr>
              <w:t>Organize</w:t>
            </w:r>
          </w:p>
        </w:tc>
        <w:tc>
          <w:tcPr>
            <w:tcW w:w="2080" w:type="dxa"/>
            <w:shd w:val="clear" w:color="auto" w:fill="D9E2F3" w:themeFill="accent1" w:themeFillTint="33"/>
            <w:vAlign w:val="center"/>
          </w:tcPr>
          <w:p w14:paraId="431AA424" w14:textId="049AADA0" w:rsidR="004123E6" w:rsidRPr="00111205" w:rsidRDefault="00824263" w:rsidP="00271ADF">
            <w:pPr>
              <w:spacing w:after="0"/>
              <w:rPr>
                <w:sz w:val="22"/>
                <w:szCs w:val="22"/>
              </w:rPr>
            </w:pPr>
            <w:r>
              <w:rPr>
                <w:sz w:val="22"/>
                <w:szCs w:val="22"/>
              </w:rPr>
              <w:t>Identify additional Restore Taskforce members</w:t>
            </w:r>
          </w:p>
        </w:tc>
        <w:tc>
          <w:tcPr>
            <w:tcW w:w="2081" w:type="dxa"/>
            <w:shd w:val="clear" w:color="auto" w:fill="D9E2F3" w:themeFill="accent1" w:themeFillTint="33"/>
            <w:vAlign w:val="center"/>
          </w:tcPr>
          <w:p w14:paraId="7017CE6B" w14:textId="11CF7835" w:rsidR="004123E6" w:rsidRPr="00111205" w:rsidRDefault="00E405D0" w:rsidP="00271ADF">
            <w:pPr>
              <w:spacing w:after="0"/>
              <w:rPr>
                <w:sz w:val="22"/>
                <w:szCs w:val="22"/>
              </w:rPr>
            </w:pPr>
            <w:r>
              <w:rPr>
                <w:sz w:val="22"/>
                <w:szCs w:val="22"/>
              </w:rPr>
              <w:t>Cross training company Incident Management Team members</w:t>
            </w:r>
          </w:p>
        </w:tc>
        <w:tc>
          <w:tcPr>
            <w:tcW w:w="2081" w:type="dxa"/>
            <w:shd w:val="clear" w:color="auto" w:fill="D9E2F3" w:themeFill="accent1" w:themeFillTint="33"/>
            <w:vAlign w:val="center"/>
          </w:tcPr>
          <w:p w14:paraId="5C56DACD" w14:textId="36CC59F0" w:rsidR="004123E6" w:rsidRPr="00111205" w:rsidRDefault="005D15E8" w:rsidP="00271ADF">
            <w:pPr>
              <w:spacing w:after="0"/>
              <w:rPr>
                <w:sz w:val="22"/>
                <w:szCs w:val="22"/>
              </w:rPr>
            </w:pPr>
            <w:r>
              <w:rPr>
                <w:sz w:val="22"/>
                <w:szCs w:val="22"/>
              </w:rPr>
              <w:t>Develop process for logistical and supply chain management</w:t>
            </w:r>
          </w:p>
        </w:tc>
      </w:tr>
      <w:tr w:rsidR="004123E6" w:rsidRPr="007B6478" w14:paraId="779AFE1B" w14:textId="77777777" w:rsidTr="00271ADF">
        <w:trPr>
          <w:trHeight w:val="720"/>
        </w:trPr>
        <w:tc>
          <w:tcPr>
            <w:tcW w:w="1027" w:type="dxa"/>
            <w:vAlign w:val="center"/>
          </w:tcPr>
          <w:p w14:paraId="393FE5C4" w14:textId="77777777" w:rsidR="004123E6" w:rsidRPr="00E412FF" w:rsidRDefault="004123E6" w:rsidP="00271ADF">
            <w:pPr>
              <w:spacing w:after="0"/>
              <w:rPr>
                <w:b/>
                <w:bCs/>
                <w:sz w:val="22"/>
                <w:szCs w:val="22"/>
              </w:rPr>
            </w:pPr>
            <w:r w:rsidRPr="00E412FF">
              <w:rPr>
                <w:b/>
                <w:bCs/>
                <w:sz w:val="22"/>
                <w:szCs w:val="22"/>
              </w:rPr>
              <w:t>Equip</w:t>
            </w:r>
          </w:p>
        </w:tc>
        <w:tc>
          <w:tcPr>
            <w:tcW w:w="2080" w:type="dxa"/>
            <w:vAlign w:val="center"/>
          </w:tcPr>
          <w:p w14:paraId="635E6731" w14:textId="202A3DDA" w:rsidR="004123E6" w:rsidRPr="00111205" w:rsidRDefault="00A57737" w:rsidP="00271ADF">
            <w:pPr>
              <w:spacing w:after="0"/>
              <w:rPr>
                <w:sz w:val="22"/>
                <w:szCs w:val="22"/>
              </w:rPr>
            </w:pPr>
            <w:r w:rsidRPr="00111205">
              <w:rPr>
                <w:sz w:val="22"/>
                <w:szCs w:val="22"/>
              </w:rPr>
              <w:t xml:space="preserve">Increase </w:t>
            </w:r>
            <w:r w:rsidR="00D276B0">
              <w:rPr>
                <w:sz w:val="22"/>
                <w:szCs w:val="22"/>
              </w:rPr>
              <w:t>backup data center</w:t>
            </w:r>
            <w:r w:rsidRPr="00111205">
              <w:rPr>
                <w:sz w:val="22"/>
                <w:szCs w:val="22"/>
              </w:rPr>
              <w:t xml:space="preserve"> capabilities for parallel production environment to </w:t>
            </w:r>
            <w:r w:rsidR="00D276B0">
              <w:rPr>
                <w:sz w:val="22"/>
                <w:szCs w:val="22"/>
              </w:rPr>
              <w:t>primary data center</w:t>
            </w:r>
          </w:p>
        </w:tc>
        <w:tc>
          <w:tcPr>
            <w:tcW w:w="2081" w:type="dxa"/>
            <w:vAlign w:val="center"/>
          </w:tcPr>
          <w:p w14:paraId="37A9BE95" w14:textId="3A9E8F26" w:rsidR="004123E6" w:rsidRPr="00111205" w:rsidRDefault="00E405D0" w:rsidP="00271ADF">
            <w:pPr>
              <w:spacing w:after="0"/>
              <w:rPr>
                <w:sz w:val="22"/>
                <w:szCs w:val="22"/>
              </w:rPr>
            </w:pPr>
            <w:r>
              <w:rPr>
                <w:sz w:val="22"/>
                <w:szCs w:val="22"/>
              </w:rPr>
              <w:t>Build out Emergency Operations Center (EOC)</w:t>
            </w:r>
          </w:p>
        </w:tc>
        <w:tc>
          <w:tcPr>
            <w:tcW w:w="2081" w:type="dxa"/>
            <w:vAlign w:val="center"/>
          </w:tcPr>
          <w:p w14:paraId="060136AB" w14:textId="302A3568" w:rsidR="004123E6" w:rsidRPr="00111205" w:rsidRDefault="00AA36F7" w:rsidP="00271ADF">
            <w:pPr>
              <w:spacing w:after="0"/>
              <w:rPr>
                <w:sz w:val="22"/>
                <w:szCs w:val="22"/>
              </w:rPr>
            </w:pPr>
            <w:r>
              <w:rPr>
                <w:sz w:val="22"/>
                <w:szCs w:val="22"/>
              </w:rPr>
              <w:t>None noted</w:t>
            </w:r>
          </w:p>
        </w:tc>
      </w:tr>
      <w:tr w:rsidR="004123E6" w:rsidRPr="007B6478" w14:paraId="2E39F13B" w14:textId="77777777" w:rsidTr="00271ADF">
        <w:trPr>
          <w:trHeight w:val="720"/>
        </w:trPr>
        <w:tc>
          <w:tcPr>
            <w:tcW w:w="1027" w:type="dxa"/>
            <w:shd w:val="clear" w:color="auto" w:fill="D9E2F3" w:themeFill="accent1" w:themeFillTint="33"/>
            <w:vAlign w:val="center"/>
          </w:tcPr>
          <w:p w14:paraId="101356A9" w14:textId="77777777" w:rsidR="004123E6" w:rsidRPr="00E412FF" w:rsidRDefault="004123E6" w:rsidP="00271ADF">
            <w:pPr>
              <w:spacing w:after="0"/>
              <w:rPr>
                <w:b/>
                <w:bCs/>
                <w:sz w:val="22"/>
                <w:szCs w:val="22"/>
              </w:rPr>
            </w:pPr>
            <w:r w:rsidRPr="00E412FF">
              <w:rPr>
                <w:b/>
                <w:bCs/>
                <w:sz w:val="22"/>
                <w:szCs w:val="22"/>
              </w:rPr>
              <w:t>Train</w:t>
            </w:r>
          </w:p>
        </w:tc>
        <w:tc>
          <w:tcPr>
            <w:tcW w:w="2080" w:type="dxa"/>
            <w:shd w:val="clear" w:color="auto" w:fill="D9E2F3" w:themeFill="accent1" w:themeFillTint="33"/>
            <w:vAlign w:val="center"/>
          </w:tcPr>
          <w:p w14:paraId="50F046D1" w14:textId="4244F726" w:rsidR="004123E6" w:rsidRPr="00111205" w:rsidRDefault="00824263" w:rsidP="00271ADF">
            <w:pPr>
              <w:spacing w:after="0"/>
              <w:rPr>
                <w:sz w:val="22"/>
                <w:szCs w:val="22"/>
              </w:rPr>
            </w:pPr>
            <w:r>
              <w:rPr>
                <w:sz w:val="22"/>
                <w:szCs w:val="22"/>
              </w:rPr>
              <w:t>Cross train Restore Taskforce members</w:t>
            </w:r>
          </w:p>
        </w:tc>
        <w:tc>
          <w:tcPr>
            <w:tcW w:w="2081" w:type="dxa"/>
            <w:shd w:val="clear" w:color="auto" w:fill="D9E2F3" w:themeFill="accent1" w:themeFillTint="33"/>
            <w:vAlign w:val="center"/>
          </w:tcPr>
          <w:p w14:paraId="72DEC98D" w14:textId="2368F247" w:rsidR="004123E6" w:rsidRPr="00111205" w:rsidRDefault="008310EE" w:rsidP="00EB7CDD">
            <w:pPr>
              <w:pStyle w:val="ListParagraph"/>
              <w:numPr>
                <w:ilvl w:val="0"/>
                <w:numId w:val="21"/>
              </w:numPr>
              <w:spacing w:after="0"/>
              <w:ind w:left="211" w:hanging="180"/>
              <w:rPr>
                <w:sz w:val="22"/>
                <w:szCs w:val="22"/>
              </w:rPr>
            </w:pPr>
            <w:r w:rsidRPr="00111205">
              <w:rPr>
                <w:sz w:val="22"/>
                <w:szCs w:val="22"/>
              </w:rPr>
              <w:t>ICS 100, 200, 700</w:t>
            </w:r>
          </w:p>
          <w:p w14:paraId="2CD9AD53" w14:textId="0C234205" w:rsidR="00EB7CDD" w:rsidRPr="004A5C9A" w:rsidRDefault="00C019FF" w:rsidP="0065490C">
            <w:pPr>
              <w:pStyle w:val="ListParagraph"/>
              <w:numPr>
                <w:ilvl w:val="0"/>
                <w:numId w:val="21"/>
              </w:numPr>
              <w:spacing w:after="0"/>
              <w:ind w:left="211" w:hanging="180"/>
              <w:rPr>
                <w:sz w:val="22"/>
                <w:szCs w:val="22"/>
              </w:rPr>
            </w:pPr>
            <w:r>
              <w:rPr>
                <w:sz w:val="22"/>
                <w:szCs w:val="22"/>
              </w:rPr>
              <w:t>ICS Awareness</w:t>
            </w:r>
          </w:p>
        </w:tc>
        <w:tc>
          <w:tcPr>
            <w:tcW w:w="2081" w:type="dxa"/>
            <w:shd w:val="clear" w:color="auto" w:fill="D9E2F3" w:themeFill="accent1" w:themeFillTint="33"/>
            <w:vAlign w:val="center"/>
          </w:tcPr>
          <w:p w14:paraId="35DB041F" w14:textId="270C342C" w:rsidR="004123E6" w:rsidRPr="00111205" w:rsidRDefault="00AA36F7" w:rsidP="00271ADF">
            <w:pPr>
              <w:spacing w:after="0"/>
              <w:rPr>
                <w:sz w:val="22"/>
                <w:szCs w:val="22"/>
              </w:rPr>
            </w:pPr>
            <w:r>
              <w:rPr>
                <w:sz w:val="22"/>
                <w:szCs w:val="22"/>
              </w:rPr>
              <w:t>Q1 Refresher Training</w:t>
            </w:r>
          </w:p>
        </w:tc>
      </w:tr>
      <w:tr w:rsidR="004123E6" w:rsidRPr="007B6478" w14:paraId="7B389369" w14:textId="77777777" w:rsidTr="00271ADF">
        <w:trPr>
          <w:trHeight w:val="720"/>
        </w:trPr>
        <w:tc>
          <w:tcPr>
            <w:tcW w:w="1027" w:type="dxa"/>
            <w:vAlign w:val="center"/>
          </w:tcPr>
          <w:p w14:paraId="7FE82159" w14:textId="77777777" w:rsidR="004123E6" w:rsidRPr="00E412FF" w:rsidRDefault="004123E6" w:rsidP="00271ADF">
            <w:pPr>
              <w:spacing w:after="0"/>
              <w:rPr>
                <w:b/>
                <w:bCs/>
                <w:sz w:val="22"/>
                <w:szCs w:val="22"/>
              </w:rPr>
            </w:pPr>
            <w:r w:rsidRPr="00E412FF">
              <w:rPr>
                <w:b/>
                <w:bCs/>
                <w:sz w:val="22"/>
                <w:szCs w:val="22"/>
              </w:rPr>
              <w:lastRenderedPageBreak/>
              <w:t>Exercise</w:t>
            </w:r>
          </w:p>
        </w:tc>
        <w:tc>
          <w:tcPr>
            <w:tcW w:w="2080" w:type="dxa"/>
            <w:vAlign w:val="center"/>
          </w:tcPr>
          <w:p w14:paraId="07544706" w14:textId="00B66020" w:rsidR="00F3139F" w:rsidRPr="00F3139F" w:rsidRDefault="00F3139F" w:rsidP="00F3139F">
            <w:pPr>
              <w:pStyle w:val="ListParagraph"/>
              <w:numPr>
                <w:ilvl w:val="0"/>
                <w:numId w:val="28"/>
              </w:numPr>
              <w:spacing w:after="0"/>
              <w:ind w:left="189" w:hanging="180"/>
            </w:pPr>
            <w:r>
              <w:rPr>
                <w:sz w:val="22"/>
                <w:szCs w:val="22"/>
              </w:rPr>
              <w:t xml:space="preserve">Q4 </w:t>
            </w:r>
            <w:r w:rsidR="00115B78">
              <w:rPr>
                <w:sz w:val="22"/>
                <w:szCs w:val="22"/>
              </w:rPr>
              <w:t xml:space="preserve">Full Environment </w:t>
            </w:r>
            <w:r w:rsidR="00115B78" w:rsidRPr="00713344">
              <w:rPr>
                <w:sz w:val="22"/>
                <w:szCs w:val="22"/>
              </w:rPr>
              <w:t>Backup/Restore</w:t>
            </w:r>
            <w:r w:rsidR="00115B78">
              <w:rPr>
                <w:sz w:val="22"/>
                <w:szCs w:val="22"/>
              </w:rPr>
              <w:t xml:space="preserve"> (</w:t>
            </w:r>
            <w:r>
              <w:rPr>
                <w:sz w:val="22"/>
                <w:szCs w:val="22"/>
              </w:rPr>
              <w:t>VPN</w:t>
            </w:r>
            <w:r w:rsidR="005D15E8">
              <w:rPr>
                <w:sz w:val="22"/>
                <w:szCs w:val="22"/>
              </w:rPr>
              <w:t xml:space="preserve"> and primary data center</w:t>
            </w:r>
            <w:r>
              <w:rPr>
                <w:sz w:val="22"/>
                <w:szCs w:val="22"/>
              </w:rPr>
              <w:t>)</w:t>
            </w:r>
            <w:r w:rsidR="00115B78">
              <w:rPr>
                <w:sz w:val="22"/>
                <w:szCs w:val="22"/>
              </w:rPr>
              <w:t xml:space="preserve"> </w:t>
            </w:r>
            <w:r w:rsidR="00115B78" w:rsidRPr="00713344">
              <w:rPr>
                <w:sz w:val="22"/>
                <w:szCs w:val="22"/>
              </w:rPr>
              <w:t>Test</w:t>
            </w:r>
          </w:p>
        </w:tc>
        <w:tc>
          <w:tcPr>
            <w:tcW w:w="2081" w:type="dxa"/>
            <w:vAlign w:val="center"/>
          </w:tcPr>
          <w:p w14:paraId="4735760A" w14:textId="1441A9FE" w:rsidR="004123E6" w:rsidRPr="00111205" w:rsidRDefault="00E405D0" w:rsidP="00271ADF">
            <w:pPr>
              <w:spacing w:after="0"/>
              <w:rPr>
                <w:sz w:val="22"/>
                <w:szCs w:val="22"/>
              </w:rPr>
            </w:pPr>
            <w:r>
              <w:rPr>
                <w:sz w:val="22"/>
                <w:szCs w:val="22"/>
              </w:rPr>
              <w:t>See IT Resiliency Exercise</w:t>
            </w:r>
          </w:p>
        </w:tc>
        <w:tc>
          <w:tcPr>
            <w:tcW w:w="2081" w:type="dxa"/>
            <w:vAlign w:val="center"/>
          </w:tcPr>
          <w:p w14:paraId="68FE34B3" w14:textId="044DE64B" w:rsidR="004123E6" w:rsidRPr="00111205" w:rsidRDefault="00AA36F7" w:rsidP="00271ADF">
            <w:pPr>
              <w:spacing w:after="0"/>
              <w:rPr>
                <w:sz w:val="22"/>
                <w:szCs w:val="22"/>
              </w:rPr>
            </w:pPr>
            <w:r>
              <w:rPr>
                <w:sz w:val="22"/>
                <w:szCs w:val="22"/>
              </w:rPr>
              <w:t>Q3 Tabletop exercise (TTX) w/</w:t>
            </w:r>
            <w:proofErr w:type="spellStart"/>
            <w:r w:rsidR="00D276B0">
              <w:rPr>
                <w:sz w:val="22"/>
                <w:szCs w:val="22"/>
              </w:rPr>
              <w:t>MedSurg</w:t>
            </w:r>
            <w:proofErr w:type="spellEnd"/>
            <w:r w:rsidR="00D276B0">
              <w:rPr>
                <w:sz w:val="22"/>
                <w:szCs w:val="22"/>
              </w:rPr>
              <w:t xml:space="preserve"> &amp; ICU personnel</w:t>
            </w:r>
          </w:p>
        </w:tc>
      </w:tr>
    </w:tbl>
    <w:p w14:paraId="60F715A4" w14:textId="77777777" w:rsidR="00606E69" w:rsidRDefault="00606E69" w:rsidP="00606E69"/>
    <w:p w14:paraId="08C3FE75" w14:textId="75390C52" w:rsidR="00606E69" w:rsidRPr="00E412FF" w:rsidRDefault="00606E69" w:rsidP="00606E69">
      <w:pPr>
        <w:pStyle w:val="Heading2"/>
      </w:pPr>
      <w:r>
        <w:t>202</w:t>
      </w:r>
      <w:r w:rsidR="00937EAF">
        <w:t>X</w:t>
      </w:r>
      <w:r>
        <w:t xml:space="preserve"> Calendar Year Schedule</w:t>
      </w:r>
    </w:p>
    <w:tbl>
      <w:tblPr>
        <w:tblStyle w:val="TableGrid"/>
        <w:tblW w:w="5000" w:type="pct"/>
        <w:tblLook w:val="04A0" w:firstRow="1" w:lastRow="0" w:firstColumn="1" w:lastColumn="0" w:noHBand="0" w:noVBand="1"/>
      </w:tblPr>
      <w:tblGrid>
        <w:gridCol w:w="1321"/>
        <w:gridCol w:w="2675"/>
        <w:gridCol w:w="2677"/>
        <w:gridCol w:w="2677"/>
      </w:tblGrid>
      <w:tr w:rsidR="004123E6" w:rsidRPr="007B6478" w14:paraId="508BF728" w14:textId="77777777" w:rsidTr="00CB01C0">
        <w:tc>
          <w:tcPr>
            <w:tcW w:w="1321" w:type="dxa"/>
            <w:shd w:val="clear" w:color="auto" w:fill="186EFF"/>
            <w:vAlign w:val="center"/>
          </w:tcPr>
          <w:p w14:paraId="6B34BE30" w14:textId="77777777" w:rsidR="004123E6" w:rsidRPr="007B6478" w:rsidRDefault="004123E6" w:rsidP="00271ADF">
            <w:pPr>
              <w:spacing w:after="0"/>
              <w:rPr>
                <w:b/>
                <w:bCs/>
                <w:color w:val="FFFFFF" w:themeColor="background1"/>
                <w:sz w:val="22"/>
                <w:szCs w:val="22"/>
              </w:rPr>
            </w:pPr>
            <w:r w:rsidRPr="007B6478">
              <w:rPr>
                <w:b/>
                <w:bCs/>
                <w:color w:val="FFFFFF" w:themeColor="background1"/>
                <w:sz w:val="22"/>
                <w:szCs w:val="22"/>
              </w:rPr>
              <w:t>Activity</w:t>
            </w:r>
          </w:p>
        </w:tc>
        <w:tc>
          <w:tcPr>
            <w:tcW w:w="2675" w:type="dxa"/>
            <w:shd w:val="clear" w:color="auto" w:fill="186EFF"/>
            <w:vAlign w:val="center"/>
          </w:tcPr>
          <w:p w14:paraId="61711E50" w14:textId="05F75350" w:rsidR="004123E6" w:rsidRPr="007B6478" w:rsidRDefault="00A57737" w:rsidP="00271ADF">
            <w:pPr>
              <w:spacing w:after="0"/>
              <w:jc w:val="center"/>
              <w:rPr>
                <w:b/>
                <w:bCs/>
                <w:color w:val="FFFFFF" w:themeColor="background1"/>
                <w:sz w:val="22"/>
                <w:szCs w:val="22"/>
              </w:rPr>
            </w:pPr>
            <w:r w:rsidRPr="00A57737">
              <w:rPr>
                <w:b/>
                <w:bCs/>
                <w:color w:val="FFFFFF" w:themeColor="background1"/>
                <w:sz w:val="22"/>
                <w:szCs w:val="22"/>
              </w:rPr>
              <w:t>IT Resiliency</w:t>
            </w:r>
          </w:p>
        </w:tc>
        <w:tc>
          <w:tcPr>
            <w:tcW w:w="2677" w:type="dxa"/>
            <w:shd w:val="clear" w:color="auto" w:fill="186EFF"/>
            <w:vAlign w:val="center"/>
          </w:tcPr>
          <w:p w14:paraId="4BA4CC09" w14:textId="77777777" w:rsidR="004123E6" w:rsidRPr="007B6478" w:rsidRDefault="004123E6" w:rsidP="00271ADF">
            <w:pPr>
              <w:spacing w:after="0"/>
              <w:jc w:val="center"/>
              <w:rPr>
                <w:b/>
                <w:bCs/>
                <w:color w:val="FFFFFF" w:themeColor="background1"/>
                <w:sz w:val="22"/>
                <w:szCs w:val="22"/>
              </w:rPr>
            </w:pPr>
            <w:r>
              <w:rPr>
                <w:b/>
                <w:bCs/>
                <w:color w:val="FFFFFF" w:themeColor="background1"/>
                <w:sz w:val="22"/>
                <w:szCs w:val="22"/>
              </w:rPr>
              <w:t>Incident Management</w:t>
            </w:r>
          </w:p>
        </w:tc>
        <w:tc>
          <w:tcPr>
            <w:tcW w:w="2677" w:type="dxa"/>
            <w:shd w:val="clear" w:color="auto" w:fill="186EFF"/>
            <w:vAlign w:val="center"/>
          </w:tcPr>
          <w:p w14:paraId="0C346178" w14:textId="1A6ED95A" w:rsidR="004123E6" w:rsidRPr="007B6478" w:rsidRDefault="005D15E8" w:rsidP="00271ADF">
            <w:pPr>
              <w:spacing w:after="0"/>
              <w:jc w:val="center"/>
              <w:rPr>
                <w:b/>
                <w:bCs/>
                <w:color w:val="FFFFFF" w:themeColor="background1"/>
                <w:sz w:val="22"/>
                <w:szCs w:val="22"/>
              </w:rPr>
            </w:pPr>
            <w:r>
              <w:rPr>
                <w:b/>
                <w:bCs/>
                <w:color w:val="FFFFFF" w:themeColor="background1"/>
                <w:sz w:val="22"/>
                <w:szCs w:val="22"/>
              </w:rPr>
              <w:t>Mass Care Services</w:t>
            </w:r>
          </w:p>
        </w:tc>
      </w:tr>
      <w:tr w:rsidR="00AA36F7" w:rsidRPr="007B6478" w14:paraId="119D67D3" w14:textId="77777777" w:rsidTr="00AA36F7">
        <w:trPr>
          <w:trHeight w:val="720"/>
        </w:trPr>
        <w:tc>
          <w:tcPr>
            <w:tcW w:w="1321" w:type="dxa"/>
            <w:vAlign w:val="center"/>
          </w:tcPr>
          <w:p w14:paraId="2495AD13" w14:textId="77777777" w:rsidR="00AA36F7" w:rsidRPr="00E412FF" w:rsidRDefault="00AA36F7" w:rsidP="00AA36F7">
            <w:pPr>
              <w:spacing w:after="0"/>
              <w:rPr>
                <w:b/>
                <w:bCs/>
                <w:sz w:val="22"/>
                <w:szCs w:val="22"/>
              </w:rPr>
            </w:pPr>
            <w:r w:rsidRPr="00E412FF">
              <w:rPr>
                <w:b/>
                <w:bCs/>
                <w:sz w:val="22"/>
                <w:szCs w:val="22"/>
              </w:rPr>
              <w:t>Plan</w:t>
            </w:r>
          </w:p>
        </w:tc>
        <w:tc>
          <w:tcPr>
            <w:tcW w:w="2675" w:type="dxa"/>
            <w:vAlign w:val="center"/>
          </w:tcPr>
          <w:p w14:paraId="1D1D68D4" w14:textId="41554281" w:rsidR="00AA36F7" w:rsidRPr="00A222F8" w:rsidRDefault="00AA36F7" w:rsidP="00AA36F7">
            <w:pPr>
              <w:spacing w:after="0"/>
              <w:rPr>
                <w:sz w:val="22"/>
                <w:szCs w:val="22"/>
              </w:rPr>
            </w:pPr>
            <w:r w:rsidRPr="00A222F8">
              <w:rPr>
                <w:sz w:val="22"/>
                <w:szCs w:val="22"/>
              </w:rPr>
              <w:t>Update plans to encompass multiple restore locations (e.g., virtual/cloud)</w:t>
            </w:r>
          </w:p>
        </w:tc>
        <w:tc>
          <w:tcPr>
            <w:tcW w:w="2677" w:type="dxa"/>
            <w:vAlign w:val="center"/>
          </w:tcPr>
          <w:p w14:paraId="0C4B45F7" w14:textId="0D58AC35" w:rsidR="00AA36F7" w:rsidRPr="00A222F8" w:rsidRDefault="00E405D0" w:rsidP="00AA36F7">
            <w:pPr>
              <w:spacing w:after="0"/>
              <w:rPr>
                <w:sz w:val="22"/>
                <w:szCs w:val="22"/>
              </w:rPr>
            </w:pPr>
            <w:r>
              <w:rPr>
                <w:sz w:val="22"/>
                <w:szCs w:val="22"/>
              </w:rPr>
              <w:t>TBD</w:t>
            </w:r>
          </w:p>
        </w:tc>
        <w:tc>
          <w:tcPr>
            <w:tcW w:w="2677" w:type="dxa"/>
            <w:vAlign w:val="center"/>
          </w:tcPr>
          <w:p w14:paraId="3EC7CA01" w14:textId="0781D8D5" w:rsidR="00AA36F7" w:rsidRPr="00A222F8" w:rsidRDefault="00AA36F7" w:rsidP="00AA36F7">
            <w:pPr>
              <w:spacing w:after="0"/>
              <w:rPr>
                <w:sz w:val="22"/>
                <w:szCs w:val="22"/>
              </w:rPr>
            </w:pPr>
            <w:r>
              <w:rPr>
                <w:sz w:val="22"/>
                <w:szCs w:val="22"/>
              </w:rPr>
              <w:t>None noted</w:t>
            </w:r>
          </w:p>
        </w:tc>
      </w:tr>
      <w:tr w:rsidR="00E405D0" w:rsidRPr="007B6478" w14:paraId="697E8912" w14:textId="77777777" w:rsidTr="00E405D0">
        <w:trPr>
          <w:trHeight w:val="720"/>
        </w:trPr>
        <w:tc>
          <w:tcPr>
            <w:tcW w:w="1321" w:type="dxa"/>
            <w:shd w:val="clear" w:color="auto" w:fill="D9E2F3" w:themeFill="accent1" w:themeFillTint="33"/>
            <w:vAlign w:val="center"/>
          </w:tcPr>
          <w:p w14:paraId="5EA4CCDD" w14:textId="77777777" w:rsidR="00E405D0" w:rsidRPr="00E412FF" w:rsidRDefault="00E405D0" w:rsidP="00E405D0">
            <w:pPr>
              <w:spacing w:after="0"/>
              <w:rPr>
                <w:b/>
                <w:bCs/>
                <w:sz w:val="22"/>
                <w:szCs w:val="22"/>
              </w:rPr>
            </w:pPr>
            <w:r w:rsidRPr="00E412FF">
              <w:rPr>
                <w:b/>
                <w:bCs/>
                <w:sz w:val="22"/>
                <w:szCs w:val="22"/>
              </w:rPr>
              <w:t>Organize</w:t>
            </w:r>
          </w:p>
        </w:tc>
        <w:tc>
          <w:tcPr>
            <w:tcW w:w="2675" w:type="dxa"/>
            <w:shd w:val="clear" w:color="auto" w:fill="D9E2F3" w:themeFill="accent1" w:themeFillTint="33"/>
            <w:vAlign w:val="center"/>
          </w:tcPr>
          <w:p w14:paraId="73541180" w14:textId="55F3C779" w:rsidR="00E405D0" w:rsidRPr="00A222F8" w:rsidRDefault="00E405D0" w:rsidP="00E405D0">
            <w:pPr>
              <w:spacing w:after="0"/>
              <w:rPr>
                <w:sz w:val="22"/>
                <w:szCs w:val="22"/>
              </w:rPr>
            </w:pPr>
            <w:r>
              <w:rPr>
                <w:sz w:val="22"/>
                <w:szCs w:val="22"/>
              </w:rPr>
              <w:t>TBD</w:t>
            </w:r>
          </w:p>
        </w:tc>
        <w:tc>
          <w:tcPr>
            <w:tcW w:w="2677" w:type="dxa"/>
            <w:shd w:val="clear" w:color="auto" w:fill="D9E2F3" w:themeFill="accent1" w:themeFillTint="33"/>
            <w:vAlign w:val="center"/>
          </w:tcPr>
          <w:p w14:paraId="7B3045D2" w14:textId="5409B1F4" w:rsidR="00E405D0" w:rsidRPr="00A222F8" w:rsidRDefault="00E405D0" w:rsidP="00E405D0">
            <w:pPr>
              <w:spacing w:after="0"/>
              <w:rPr>
                <w:sz w:val="22"/>
                <w:szCs w:val="22"/>
              </w:rPr>
            </w:pPr>
            <w:r w:rsidRPr="00BD7CCF">
              <w:rPr>
                <w:sz w:val="22"/>
                <w:szCs w:val="22"/>
              </w:rPr>
              <w:t>None noted</w:t>
            </w:r>
          </w:p>
        </w:tc>
        <w:tc>
          <w:tcPr>
            <w:tcW w:w="2677" w:type="dxa"/>
            <w:shd w:val="clear" w:color="auto" w:fill="D9E2F3" w:themeFill="accent1" w:themeFillTint="33"/>
            <w:vAlign w:val="center"/>
          </w:tcPr>
          <w:p w14:paraId="05F37FE8" w14:textId="1B6806E6" w:rsidR="00E405D0" w:rsidRPr="00A222F8" w:rsidRDefault="00E405D0" w:rsidP="00E405D0">
            <w:pPr>
              <w:spacing w:after="0"/>
              <w:rPr>
                <w:sz w:val="22"/>
                <w:szCs w:val="22"/>
              </w:rPr>
            </w:pPr>
            <w:r>
              <w:rPr>
                <w:sz w:val="22"/>
                <w:szCs w:val="22"/>
              </w:rPr>
              <w:t>None noted</w:t>
            </w:r>
          </w:p>
        </w:tc>
      </w:tr>
      <w:tr w:rsidR="00E405D0" w:rsidRPr="007B6478" w14:paraId="34CE04B0" w14:textId="77777777" w:rsidTr="00E405D0">
        <w:trPr>
          <w:trHeight w:val="720"/>
        </w:trPr>
        <w:tc>
          <w:tcPr>
            <w:tcW w:w="1321" w:type="dxa"/>
            <w:vAlign w:val="center"/>
          </w:tcPr>
          <w:p w14:paraId="365D74AC" w14:textId="77777777" w:rsidR="00E405D0" w:rsidRPr="00E412FF" w:rsidRDefault="00E405D0" w:rsidP="00E405D0">
            <w:pPr>
              <w:spacing w:after="0"/>
              <w:rPr>
                <w:b/>
                <w:bCs/>
                <w:sz w:val="22"/>
                <w:szCs w:val="22"/>
              </w:rPr>
            </w:pPr>
            <w:r w:rsidRPr="00E412FF">
              <w:rPr>
                <w:b/>
                <w:bCs/>
                <w:sz w:val="22"/>
                <w:szCs w:val="22"/>
              </w:rPr>
              <w:t>Equip</w:t>
            </w:r>
          </w:p>
        </w:tc>
        <w:tc>
          <w:tcPr>
            <w:tcW w:w="2675" w:type="dxa"/>
            <w:vAlign w:val="center"/>
          </w:tcPr>
          <w:p w14:paraId="3A51AB00" w14:textId="66E95E77" w:rsidR="00E405D0" w:rsidRPr="00A222F8" w:rsidRDefault="00E405D0" w:rsidP="00E405D0">
            <w:pPr>
              <w:spacing w:after="0"/>
              <w:rPr>
                <w:sz w:val="22"/>
                <w:szCs w:val="22"/>
              </w:rPr>
            </w:pPr>
            <w:r>
              <w:rPr>
                <w:sz w:val="22"/>
                <w:szCs w:val="22"/>
              </w:rPr>
              <w:t>TBD</w:t>
            </w:r>
          </w:p>
        </w:tc>
        <w:tc>
          <w:tcPr>
            <w:tcW w:w="2677" w:type="dxa"/>
            <w:vAlign w:val="center"/>
          </w:tcPr>
          <w:p w14:paraId="6A19E189" w14:textId="12FCC86B" w:rsidR="00E405D0" w:rsidRPr="00A222F8" w:rsidRDefault="00E405D0" w:rsidP="00E405D0">
            <w:pPr>
              <w:spacing w:after="0"/>
              <w:rPr>
                <w:sz w:val="22"/>
                <w:szCs w:val="22"/>
              </w:rPr>
            </w:pPr>
            <w:r w:rsidRPr="00BD7CCF">
              <w:rPr>
                <w:sz w:val="22"/>
                <w:szCs w:val="22"/>
              </w:rPr>
              <w:t>None noted</w:t>
            </w:r>
          </w:p>
        </w:tc>
        <w:tc>
          <w:tcPr>
            <w:tcW w:w="2677" w:type="dxa"/>
            <w:vAlign w:val="center"/>
          </w:tcPr>
          <w:p w14:paraId="7DEE29FF" w14:textId="00DD5CC8" w:rsidR="00E405D0" w:rsidRPr="00A222F8" w:rsidRDefault="00E405D0" w:rsidP="00E405D0">
            <w:pPr>
              <w:spacing w:after="0"/>
              <w:rPr>
                <w:sz w:val="22"/>
                <w:szCs w:val="22"/>
              </w:rPr>
            </w:pPr>
            <w:r>
              <w:rPr>
                <w:sz w:val="22"/>
                <w:szCs w:val="22"/>
              </w:rPr>
              <w:t>None noted</w:t>
            </w:r>
          </w:p>
        </w:tc>
      </w:tr>
      <w:tr w:rsidR="00AA36F7" w:rsidRPr="007B6478" w14:paraId="49928BB2" w14:textId="77777777" w:rsidTr="00AA36F7">
        <w:trPr>
          <w:trHeight w:val="720"/>
        </w:trPr>
        <w:tc>
          <w:tcPr>
            <w:tcW w:w="1321" w:type="dxa"/>
            <w:shd w:val="clear" w:color="auto" w:fill="D9E2F3" w:themeFill="accent1" w:themeFillTint="33"/>
            <w:vAlign w:val="center"/>
          </w:tcPr>
          <w:p w14:paraId="5E96A0E3" w14:textId="77777777" w:rsidR="00AA36F7" w:rsidRPr="00E412FF" w:rsidRDefault="00AA36F7" w:rsidP="00AA36F7">
            <w:pPr>
              <w:spacing w:after="0"/>
              <w:rPr>
                <w:b/>
                <w:bCs/>
                <w:sz w:val="22"/>
                <w:szCs w:val="22"/>
              </w:rPr>
            </w:pPr>
            <w:r w:rsidRPr="00E412FF">
              <w:rPr>
                <w:b/>
                <w:bCs/>
                <w:sz w:val="22"/>
                <w:szCs w:val="22"/>
              </w:rPr>
              <w:t>Train</w:t>
            </w:r>
          </w:p>
        </w:tc>
        <w:tc>
          <w:tcPr>
            <w:tcW w:w="2675" w:type="dxa"/>
            <w:shd w:val="clear" w:color="auto" w:fill="D9E2F3" w:themeFill="accent1" w:themeFillTint="33"/>
            <w:vAlign w:val="center"/>
          </w:tcPr>
          <w:p w14:paraId="53A71335" w14:textId="56E9EA14" w:rsidR="00AA36F7" w:rsidRPr="00A222F8" w:rsidRDefault="00AA36F7" w:rsidP="00AA36F7">
            <w:pPr>
              <w:spacing w:after="0"/>
              <w:rPr>
                <w:sz w:val="22"/>
                <w:szCs w:val="22"/>
              </w:rPr>
            </w:pPr>
            <w:r>
              <w:rPr>
                <w:sz w:val="22"/>
                <w:szCs w:val="22"/>
              </w:rPr>
              <w:t>TBD</w:t>
            </w:r>
          </w:p>
        </w:tc>
        <w:tc>
          <w:tcPr>
            <w:tcW w:w="2677" w:type="dxa"/>
            <w:shd w:val="clear" w:color="auto" w:fill="D9E2F3" w:themeFill="accent1" w:themeFillTint="33"/>
            <w:vAlign w:val="center"/>
          </w:tcPr>
          <w:p w14:paraId="6F81150C" w14:textId="6644D0D8" w:rsidR="00AA36F7" w:rsidRDefault="00AA36F7" w:rsidP="00AA36F7">
            <w:pPr>
              <w:pStyle w:val="ListParagraph"/>
              <w:numPr>
                <w:ilvl w:val="0"/>
                <w:numId w:val="25"/>
              </w:numPr>
              <w:spacing w:after="0"/>
              <w:ind w:left="211" w:hanging="270"/>
              <w:rPr>
                <w:sz w:val="22"/>
                <w:szCs w:val="22"/>
              </w:rPr>
            </w:pPr>
            <w:r w:rsidRPr="00A222F8">
              <w:rPr>
                <w:sz w:val="22"/>
                <w:szCs w:val="22"/>
              </w:rPr>
              <w:t>New IMT Members: ICS 100, 200, 700</w:t>
            </w:r>
          </w:p>
          <w:p w14:paraId="790CC90E" w14:textId="37F999C9" w:rsidR="00C019FF" w:rsidRPr="00A222F8" w:rsidRDefault="00C019FF" w:rsidP="00AA36F7">
            <w:pPr>
              <w:pStyle w:val="ListParagraph"/>
              <w:numPr>
                <w:ilvl w:val="0"/>
                <w:numId w:val="25"/>
              </w:numPr>
              <w:spacing w:after="0"/>
              <w:ind w:left="211" w:hanging="270"/>
              <w:rPr>
                <w:sz w:val="22"/>
                <w:szCs w:val="22"/>
              </w:rPr>
            </w:pPr>
            <w:r w:rsidRPr="00111205">
              <w:rPr>
                <w:sz w:val="22"/>
                <w:szCs w:val="22"/>
              </w:rPr>
              <w:t>ICS Position specific training</w:t>
            </w:r>
          </w:p>
          <w:p w14:paraId="4B98C3ED" w14:textId="57EF8BFE" w:rsidR="00AA36F7" w:rsidRPr="00A222F8" w:rsidRDefault="00AA36F7" w:rsidP="00AA36F7">
            <w:pPr>
              <w:pStyle w:val="ListParagraph"/>
              <w:numPr>
                <w:ilvl w:val="0"/>
                <w:numId w:val="25"/>
              </w:numPr>
              <w:spacing w:after="0"/>
              <w:ind w:left="211" w:hanging="270"/>
              <w:rPr>
                <w:sz w:val="22"/>
                <w:szCs w:val="22"/>
              </w:rPr>
            </w:pPr>
            <w:r w:rsidRPr="00A222F8">
              <w:rPr>
                <w:sz w:val="22"/>
                <w:szCs w:val="22"/>
              </w:rPr>
              <w:t>Use of ICS forms</w:t>
            </w:r>
          </w:p>
        </w:tc>
        <w:tc>
          <w:tcPr>
            <w:tcW w:w="2677" w:type="dxa"/>
            <w:shd w:val="clear" w:color="auto" w:fill="D9E2F3" w:themeFill="accent1" w:themeFillTint="33"/>
            <w:vAlign w:val="center"/>
          </w:tcPr>
          <w:p w14:paraId="3EA1359D" w14:textId="473D131D" w:rsidR="00AA36F7" w:rsidRPr="00A222F8" w:rsidRDefault="00AA36F7" w:rsidP="00AA36F7">
            <w:pPr>
              <w:spacing w:after="0"/>
              <w:rPr>
                <w:sz w:val="22"/>
                <w:szCs w:val="22"/>
              </w:rPr>
            </w:pPr>
            <w:r>
              <w:rPr>
                <w:sz w:val="22"/>
                <w:szCs w:val="22"/>
              </w:rPr>
              <w:t>Q1 Refresher Training</w:t>
            </w:r>
          </w:p>
        </w:tc>
      </w:tr>
      <w:tr w:rsidR="00AA36F7" w:rsidRPr="007B6478" w14:paraId="58FF0388" w14:textId="77777777" w:rsidTr="00AA36F7">
        <w:trPr>
          <w:trHeight w:val="720"/>
        </w:trPr>
        <w:tc>
          <w:tcPr>
            <w:tcW w:w="1321" w:type="dxa"/>
            <w:vAlign w:val="center"/>
          </w:tcPr>
          <w:p w14:paraId="16060655" w14:textId="77777777" w:rsidR="00AA36F7" w:rsidRPr="00E412FF" w:rsidRDefault="00AA36F7" w:rsidP="00AA36F7">
            <w:pPr>
              <w:spacing w:after="0"/>
              <w:rPr>
                <w:b/>
                <w:bCs/>
                <w:sz w:val="22"/>
                <w:szCs w:val="22"/>
              </w:rPr>
            </w:pPr>
            <w:r w:rsidRPr="00E412FF">
              <w:rPr>
                <w:b/>
                <w:bCs/>
                <w:sz w:val="22"/>
                <w:szCs w:val="22"/>
              </w:rPr>
              <w:t>Exercise</w:t>
            </w:r>
          </w:p>
        </w:tc>
        <w:tc>
          <w:tcPr>
            <w:tcW w:w="2675" w:type="dxa"/>
            <w:vAlign w:val="center"/>
          </w:tcPr>
          <w:p w14:paraId="002D961E" w14:textId="7E7C8764" w:rsidR="00AA36F7" w:rsidRPr="00A222F8" w:rsidRDefault="00AA36F7" w:rsidP="00AA36F7">
            <w:pPr>
              <w:spacing w:after="0"/>
              <w:rPr>
                <w:sz w:val="22"/>
                <w:szCs w:val="22"/>
              </w:rPr>
            </w:pPr>
            <w:r w:rsidRPr="00A222F8">
              <w:rPr>
                <w:sz w:val="22"/>
                <w:szCs w:val="22"/>
              </w:rPr>
              <w:t xml:space="preserve">Q4 Full Environment Backup/Restore (onsite/ </w:t>
            </w:r>
            <w:r w:rsidR="00937EAF">
              <w:rPr>
                <w:sz w:val="22"/>
                <w:szCs w:val="22"/>
              </w:rPr>
              <w:t>backup data center</w:t>
            </w:r>
            <w:r w:rsidRPr="00A222F8">
              <w:rPr>
                <w:sz w:val="22"/>
                <w:szCs w:val="22"/>
              </w:rPr>
              <w:t>) Test</w:t>
            </w:r>
          </w:p>
        </w:tc>
        <w:tc>
          <w:tcPr>
            <w:tcW w:w="2677" w:type="dxa"/>
            <w:vAlign w:val="center"/>
          </w:tcPr>
          <w:p w14:paraId="6FE4A8F4" w14:textId="68CF5D45" w:rsidR="00AA36F7" w:rsidRPr="00A222F8" w:rsidRDefault="00AA36F7" w:rsidP="00AA36F7">
            <w:pPr>
              <w:spacing w:after="0"/>
              <w:rPr>
                <w:sz w:val="22"/>
                <w:szCs w:val="22"/>
              </w:rPr>
            </w:pPr>
            <w:r w:rsidRPr="00A222F8">
              <w:rPr>
                <w:sz w:val="22"/>
                <w:szCs w:val="22"/>
              </w:rPr>
              <w:t>Q</w:t>
            </w:r>
            <w:r>
              <w:rPr>
                <w:sz w:val="22"/>
                <w:szCs w:val="22"/>
              </w:rPr>
              <w:t>2</w:t>
            </w:r>
            <w:r w:rsidRPr="00A222F8">
              <w:rPr>
                <w:sz w:val="22"/>
                <w:szCs w:val="22"/>
              </w:rPr>
              <w:t xml:space="preserve"> Functional Exercise (FE) – Network Outage</w:t>
            </w:r>
          </w:p>
        </w:tc>
        <w:tc>
          <w:tcPr>
            <w:tcW w:w="2677" w:type="dxa"/>
            <w:vAlign w:val="center"/>
          </w:tcPr>
          <w:p w14:paraId="3232915A" w14:textId="599385CC" w:rsidR="00AA36F7" w:rsidRPr="00A222F8" w:rsidRDefault="00AA36F7" w:rsidP="00AA36F7">
            <w:pPr>
              <w:spacing w:after="0"/>
              <w:rPr>
                <w:sz w:val="22"/>
                <w:szCs w:val="22"/>
              </w:rPr>
            </w:pPr>
            <w:r>
              <w:rPr>
                <w:sz w:val="22"/>
                <w:szCs w:val="22"/>
              </w:rPr>
              <w:t>Q3 Tabletop exercise (TTX) w/</w:t>
            </w:r>
            <w:r w:rsidR="00937EAF">
              <w:rPr>
                <w:sz w:val="22"/>
                <w:szCs w:val="22"/>
              </w:rPr>
              <w:t>emergency department personnel</w:t>
            </w:r>
          </w:p>
        </w:tc>
      </w:tr>
    </w:tbl>
    <w:p w14:paraId="4742A998" w14:textId="77777777" w:rsidR="00606E69" w:rsidRDefault="00606E69" w:rsidP="00606E69"/>
    <w:p w14:paraId="4422C6F5" w14:textId="77777777" w:rsidR="00606E69" w:rsidRDefault="00606E69" w:rsidP="00AD2037"/>
    <w:sectPr w:rsidR="00606E69" w:rsidSect="00EF24CC">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AB42" w14:textId="77777777" w:rsidR="00F52A44" w:rsidRDefault="00F52A44" w:rsidP="00EF24CC">
      <w:pPr>
        <w:spacing w:after="0"/>
      </w:pPr>
      <w:r>
        <w:separator/>
      </w:r>
    </w:p>
  </w:endnote>
  <w:endnote w:type="continuationSeparator" w:id="0">
    <w:p w14:paraId="42D62CAE" w14:textId="77777777" w:rsidR="00F52A44" w:rsidRDefault="00F52A44" w:rsidP="00EF24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Ω≈Xˇ">
    <w:altName w:val="Cambria"/>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B233" w14:textId="393EE3B3" w:rsidR="00FB6B48" w:rsidRPr="00EF24CC" w:rsidRDefault="004F42BE" w:rsidP="00EF24CC">
    <w:pPr>
      <w:pStyle w:val="Footer"/>
      <w:pBdr>
        <w:top w:val="single" w:sz="18" w:space="1" w:color="076191"/>
      </w:pBdr>
      <w:rPr>
        <w:rFonts w:asciiTheme="majorHAnsi" w:hAnsiTheme="majorHAnsi" w:cstheme="majorHAnsi"/>
        <w:sz w:val="20"/>
        <w:szCs w:val="20"/>
      </w:rPr>
    </w:pPr>
    <w:r>
      <w:rPr>
        <w:rFonts w:asciiTheme="majorHAnsi" w:hAnsiTheme="majorHAnsi" w:cstheme="majorHAnsi"/>
        <w:sz w:val="20"/>
        <w:szCs w:val="20"/>
      </w:rPr>
      <w:t>Integrated Preparedness Plan</w:t>
    </w:r>
    <w:r w:rsidR="00FB6B48" w:rsidRPr="00C47D69">
      <w:rPr>
        <w:rFonts w:asciiTheme="majorHAnsi" w:hAnsiTheme="majorHAnsi" w:cstheme="majorHAnsi"/>
        <w:sz w:val="20"/>
        <w:szCs w:val="20"/>
      </w:rPr>
      <w:t xml:space="preserve"> | </w:t>
    </w:r>
    <w:r w:rsidR="004A5C9A">
      <w:rPr>
        <w:rFonts w:asciiTheme="majorHAnsi" w:hAnsiTheme="majorHAnsi" w:cstheme="majorHAnsi"/>
        <w:sz w:val="20"/>
        <w:szCs w:val="20"/>
      </w:rPr>
      <w:t>M</w:t>
    </w:r>
    <w:r w:rsidR="00873D7C">
      <w:rPr>
        <w:rFonts w:asciiTheme="majorHAnsi" w:hAnsiTheme="majorHAnsi" w:cstheme="majorHAnsi"/>
        <w:sz w:val="20"/>
        <w:szCs w:val="20"/>
      </w:rPr>
      <w:t>onth</w:t>
    </w:r>
    <w:r w:rsidR="00FB6B48" w:rsidRPr="00C47D69">
      <w:rPr>
        <w:rFonts w:asciiTheme="majorHAnsi" w:hAnsiTheme="majorHAnsi" w:cstheme="majorHAnsi"/>
        <w:sz w:val="20"/>
        <w:szCs w:val="20"/>
      </w:rPr>
      <w:t xml:space="preserve"> 202</w:t>
    </w:r>
    <w:r w:rsidR="00873D7C">
      <w:rPr>
        <w:rFonts w:asciiTheme="majorHAnsi" w:hAnsiTheme="majorHAnsi" w:cstheme="majorHAnsi"/>
        <w:sz w:val="20"/>
        <w:szCs w:val="20"/>
      </w:rPr>
      <w:t>X</w:t>
    </w:r>
    <w:r w:rsidR="00FB6B48" w:rsidRPr="00C47D69">
      <w:rPr>
        <w:rFonts w:asciiTheme="majorHAnsi" w:hAnsiTheme="majorHAnsi" w:cstheme="majorHAnsi"/>
        <w:sz w:val="20"/>
        <w:szCs w:val="20"/>
      </w:rPr>
      <w:ptab w:relativeTo="margin" w:alignment="right" w:leader="none"/>
    </w:r>
    <w:r w:rsidR="00FB6B48" w:rsidRPr="00C47D69">
      <w:rPr>
        <w:rFonts w:asciiTheme="majorHAnsi" w:hAnsiTheme="majorHAnsi" w:cstheme="majorHAnsi"/>
        <w:sz w:val="20"/>
        <w:szCs w:val="20"/>
      </w:rPr>
      <w:t xml:space="preserve">Page </w:t>
    </w:r>
    <w:r w:rsidR="00FB6B48" w:rsidRPr="00C47D69">
      <w:rPr>
        <w:rFonts w:asciiTheme="majorHAnsi" w:hAnsiTheme="majorHAnsi" w:cstheme="majorHAnsi"/>
        <w:sz w:val="20"/>
        <w:szCs w:val="20"/>
      </w:rPr>
      <w:fldChar w:fldCharType="begin"/>
    </w:r>
    <w:r w:rsidR="00FB6B48" w:rsidRPr="00C47D69">
      <w:rPr>
        <w:rFonts w:asciiTheme="majorHAnsi" w:hAnsiTheme="majorHAnsi" w:cstheme="majorHAnsi"/>
        <w:sz w:val="20"/>
        <w:szCs w:val="20"/>
      </w:rPr>
      <w:instrText xml:space="preserve"> PAGE   \* MERGEFORMAT </w:instrText>
    </w:r>
    <w:r w:rsidR="00FB6B48" w:rsidRPr="00C47D69">
      <w:rPr>
        <w:rFonts w:asciiTheme="majorHAnsi" w:hAnsiTheme="majorHAnsi" w:cstheme="majorHAnsi"/>
        <w:sz w:val="20"/>
        <w:szCs w:val="20"/>
      </w:rPr>
      <w:fldChar w:fldCharType="separate"/>
    </w:r>
    <w:r w:rsidR="00FB6B48">
      <w:rPr>
        <w:rFonts w:asciiTheme="majorHAnsi" w:hAnsiTheme="majorHAnsi" w:cstheme="majorHAnsi"/>
        <w:sz w:val="20"/>
        <w:szCs w:val="20"/>
      </w:rPr>
      <w:t>1</w:t>
    </w:r>
    <w:r w:rsidR="00FB6B48" w:rsidRPr="00C47D69">
      <w:rPr>
        <w:rFonts w:asciiTheme="majorHAnsi" w:hAnsiTheme="majorHAnsi" w:cstheme="maj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6906" w14:textId="77777777" w:rsidR="00F52A44" w:rsidRDefault="00F52A44" w:rsidP="00EF24CC">
      <w:pPr>
        <w:spacing w:after="0"/>
      </w:pPr>
      <w:r>
        <w:separator/>
      </w:r>
    </w:p>
  </w:footnote>
  <w:footnote w:type="continuationSeparator" w:id="0">
    <w:p w14:paraId="4BE28D9C" w14:textId="77777777" w:rsidR="00F52A44" w:rsidRDefault="00F52A44" w:rsidP="00EF24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DDD9" w14:textId="79CD7A1E" w:rsidR="00FB6B48" w:rsidRDefault="00FB6B48">
    <w:pPr>
      <w:pStyle w:val="Header"/>
    </w:pPr>
    <w:r>
      <w:rPr>
        <w:rFonts w:asciiTheme="majorHAnsi" w:hAnsiTheme="majorHAnsi" w:cs="PΩ≈Xˇ"/>
        <w:noProof/>
      </w:rPr>
      <w:drawing>
        <wp:anchor distT="0" distB="0" distL="114300" distR="114300" simplePos="0" relativeHeight="251659264" behindDoc="0" locked="0" layoutInCell="1" allowOverlap="1" wp14:anchorId="39DB331F" wp14:editId="5D6AAFD9">
          <wp:simplePos x="0" y="0"/>
          <wp:positionH relativeFrom="column">
            <wp:posOffset>4711065</wp:posOffset>
          </wp:positionH>
          <wp:positionV relativeFrom="paragraph">
            <wp:posOffset>-88900</wp:posOffset>
          </wp:positionV>
          <wp:extent cx="1077593" cy="365760"/>
          <wp:effectExtent l="0" t="0" r="2540" b="2540"/>
          <wp:wrapTight wrapText="bothSides">
            <wp:wrapPolygon edited="0">
              <wp:start x="2802" y="0"/>
              <wp:lineTo x="0" y="750"/>
              <wp:lineTo x="0" y="15000"/>
              <wp:lineTo x="1783" y="21000"/>
              <wp:lineTo x="2802" y="21000"/>
              <wp:lineTo x="4840" y="21000"/>
              <wp:lineTo x="8406" y="21000"/>
              <wp:lineTo x="21396" y="14250"/>
              <wp:lineTo x="21396" y="6000"/>
              <wp:lineTo x="5094" y="0"/>
              <wp:lineTo x="2802" y="0"/>
            </wp:wrapPolygon>
          </wp:wrapTight>
          <wp:docPr id="1915034703" name="Picture 191503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34703" name="Picture 1915034703"/>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7593" cy="365760"/>
                  </a:xfrm>
                  <a:prstGeom prst="rect">
                    <a:avLst/>
                  </a:prstGeom>
                  <a:extLst>
                    <a:ext uri="{53640926-AAD7-44d8-BBD7-CCE9431645EC}">
                      <a14:shadowObscured xmlns:ve="http://schemas.openxmlformats.org/markup-compatibility/2006"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31B"/>
    <w:multiLevelType w:val="hybridMultilevel"/>
    <w:tmpl w:val="8EE6A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27697"/>
    <w:multiLevelType w:val="hybridMultilevel"/>
    <w:tmpl w:val="B4861460"/>
    <w:lvl w:ilvl="0" w:tplc="287ECBB6">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2D79"/>
    <w:multiLevelType w:val="hybridMultilevel"/>
    <w:tmpl w:val="731C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0786F"/>
    <w:multiLevelType w:val="hybridMultilevel"/>
    <w:tmpl w:val="3D52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44872"/>
    <w:multiLevelType w:val="hybridMultilevel"/>
    <w:tmpl w:val="1B7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048C5"/>
    <w:multiLevelType w:val="hybridMultilevel"/>
    <w:tmpl w:val="D9AA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601E8"/>
    <w:multiLevelType w:val="hybridMultilevel"/>
    <w:tmpl w:val="88584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C0F24"/>
    <w:multiLevelType w:val="hybridMultilevel"/>
    <w:tmpl w:val="09B2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9174D"/>
    <w:multiLevelType w:val="hybridMultilevel"/>
    <w:tmpl w:val="4A9C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4306F"/>
    <w:multiLevelType w:val="hybridMultilevel"/>
    <w:tmpl w:val="AB58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E6F94"/>
    <w:multiLevelType w:val="hybridMultilevel"/>
    <w:tmpl w:val="B3B6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937D4"/>
    <w:multiLevelType w:val="hybridMultilevel"/>
    <w:tmpl w:val="0058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D3B89"/>
    <w:multiLevelType w:val="hybridMultilevel"/>
    <w:tmpl w:val="574C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35316"/>
    <w:multiLevelType w:val="hybridMultilevel"/>
    <w:tmpl w:val="6242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A54D8"/>
    <w:multiLevelType w:val="hybridMultilevel"/>
    <w:tmpl w:val="00D066B0"/>
    <w:lvl w:ilvl="0" w:tplc="43FA5B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A3C3E"/>
    <w:multiLevelType w:val="hybridMultilevel"/>
    <w:tmpl w:val="937A4158"/>
    <w:lvl w:ilvl="0" w:tplc="43FA5B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F295E"/>
    <w:multiLevelType w:val="hybridMultilevel"/>
    <w:tmpl w:val="6A64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A76A0"/>
    <w:multiLevelType w:val="hybridMultilevel"/>
    <w:tmpl w:val="5B4A9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642EE"/>
    <w:multiLevelType w:val="hybridMultilevel"/>
    <w:tmpl w:val="E2D22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B43D5"/>
    <w:multiLevelType w:val="hybridMultilevel"/>
    <w:tmpl w:val="309E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15D18"/>
    <w:multiLevelType w:val="hybridMultilevel"/>
    <w:tmpl w:val="6732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D2121"/>
    <w:multiLevelType w:val="hybridMultilevel"/>
    <w:tmpl w:val="512C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F1E9F"/>
    <w:multiLevelType w:val="hybridMultilevel"/>
    <w:tmpl w:val="C5BC5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025A0"/>
    <w:multiLevelType w:val="hybridMultilevel"/>
    <w:tmpl w:val="2818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F7E54"/>
    <w:multiLevelType w:val="hybridMultilevel"/>
    <w:tmpl w:val="3D52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A10EA"/>
    <w:multiLevelType w:val="hybridMultilevel"/>
    <w:tmpl w:val="104A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46AE6"/>
    <w:multiLevelType w:val="hybridMultilevel"/>
    <w:tmpl w:val="C4E08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023D1E"/>
    <w:multiLevelType w:val="hybridMultilevel"/>
    <w:tmpl w:val="B5B2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1D4682"/>
    <w:multiLevelType w:val="hybridMultilevel"/>
    <w:tmpl w:val="6C5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EF3EBB"/>
    <w:multiLevelType w:val="hybridMultilevel"/>
    <w:tmpl w:val="BDD6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560192">
    <w:abstractNumId w:val="20"/>
  </w:num>
  <w:num w:numId="2" w16cid:durableId="1666669280">
    <w:abstractNumId w:val="12"/>
  </w:num>
  <w:num w:numId="3" w16cid:durableId="2131972463">
    <w:abstractNumId w:val="24"/>
  </w:num>
  <w:num w:numId="4" w16cid:durableId="1988633032">
    <w:abstractNumId w:val="3"/>
  </w:num>
  <w:num w:numId="5" w16cid:durableId="1242446309">
    <w:abstractNumId w:val="4"/>
  </w:num>
  <w:num w:numId="6" w16cid:durableId="1684550118">
    <w:abstractNumId w:val="18"/>
  </w:num>
  <w:num w:numId="7" w16cid:durableId="1510751458">
    <w:abstractNumId w:val="22"/>
  </w:num>
  <w:num w:numId="8" w16cid:durableId="1250702112">
    <w:abstractNumId w:val="6"/>
  </w:num>
  <w:num w:numId="9" w16cid:durableId="847866092">
    <w:abstractNumId w:val="17"/>
  </w:num>
  <w:num w:numId="10" w16cid:durableId="2090694195">
    <w:abstractNumId w:val="2"/>
  </w:num>
  <w:num w:numId="11" w16cid:durableId="197591820">
    <w:abstractNumId w:val="9"/>
  </w:num>
  <w:num w:numId="12" w16cid:durableId="60905509">
    <w:abstractNumId w:val="28"/>
  </w:num>
  <w:num w:numId="13" w16cid:durableId="57244136">
    <w:abstractNumId w:val="5"/>
  </w:num>
  <w:num w:numId="14" w16cid:durableId="1931113901">
    <w:abstractNumId w:val="23"/>
  </w:num>
  <w:num w:numId="15" w16cid:durableId="561139697">
    <w:abstractNumId w:val="8"/>
  </w:num>
  <w:num w:numId="16" w16cid:durableId="792215699">
    <w:abstractNumId w:val="7"/>
  </w:num>
  <w:num w:numId="17" w16cid:durableId="918977558">
    <w:abstractNumId w:val="27"/>
  </w:num>
  <w:num w:numId="18" w16cid:durableId="1369574611">
    <w:abstractNumId w:val="29"/>
  </w:num>
  <w:num w:numId="19" w16cid:durableId="797990725">
    <w:abstractNumId w:val="26"/>
  </w:num>
  <w:num w:numId="20" w16cid:durableId="1558587053">
    <w:abstractNumId w:val="16"/>
  </w:num>
  <w:num w:numId="21" w16cid:durableId="1574314495">
    <w:abstractNumId w:val="0"/>
  </w:num>
  <w:num w:numId="22" w16cid:durableId="1204053744">
    <w:abstractNumId w:val="13"/>
  </w:num>
  <w:num w:numId="23" w16cid:durableId="909776046">
    <w:abstractNumId w:val="14"/>
  </w:num>
  <w:num w:numId="24" w16cid:durableId="1054430299">
    <w:abstractNumId w:val="15"/>
  </w:num>
  <w:num w:numId="25" w16cid:durableId="1938635319">
    <w:abstractNumId w:val="21"/>
  </w:num>
  <w:num w:numId="26" w16cid:durableId="1027679337">
    <w:abstractNumId w:val="25"/>
  </w:num>
  <w:num w:numId="27" w16cid:durableId="945045335">
    <w:abstractNumId w:val="11"/>
  </w:num>
  <w:num w:numId="28" w16cid:durableId="55855754">
    <w:abstractNumId w:val="10"/>
  </w:num>
  <w:num w:numId="29" w16cid:durableId="672146408">
    <w:abstractNumId w:val="19"/>
  </w:num>
  <w:num w:numId="30" w16cid:durableId="107617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1B"/>
    <w:rsid w:val="0002326D"/>
    <w:rsid w:val="00057DD0"/>
    <w:rsid w:val="000608A2"/>
    <w:rsid w:val="00062DC3"/>
    <w:rsid w:val="00063ABF"/>
    <w:rsid w:val="00075AAD"/>
    <w:rsid w:val="00076684"/>
    <w:rsid w:val="0009387C"/>
    <w:rsid w:val="000A000C"/>
    <w:rsid w:val="000B17A9"/>
    <w:rsid w:val="000E2CC8"/>
    <w:rsid w:val="000F3140"/>
    <w:rsid w:val="000F348E"/>
    <w:rsid w:val="000F39DF"/>
    <w:rsid w:val="000F4554"/>
    <w:rsid w:val="00101F8C"/>
    <w:rsid w:val="001110F5"/>
    <w:rsid w:val="00111205"/>
    <w:rsid w:val="001128FE"/>
    <w:rsid w:val="00113930"/>
    <w:rsid w:val="00115B78"/>
    <w:rsid w:val="0012394C"/>
    <w:rsid w:val="00124682"/>
    <w:rsid w:val="00131648"/>
    <w:rsid w:val="001411A9"/>
    <w:rsid w:val="00144518"/>
    <w:rsid w:val="00162E2B"/>
    <w:rsid w:val="00183E11"/>
    <w:rsid w:val="00190C82"/>
    <w:rsid w:val="00192256"/>
    <w:rsid w:val="001B668B"/>
    <w:rsid w:val="001C25A9"/>
    <w:rsid w:val="001D19F0"/>
    <w:rsid w:val="001D7B4D"/>
    <w:rsid w:val="001E2ED0"/>
    <w:rsid w:val="001E4A24"/>
    <w:rsid w:val="001F048F"/>
    <w:rsid w:val="001F0A3E"/>
    <w:rsid w:val="001F0BD7"/>
    <w:rsid w:val="00207B8E"/>
    <w:rsid w:val="00217889"/>
    <w:rsid w:val="0024268E"/>
    <w:rsid w:val="00250626"/>
    <w:rsid w:val="0025681B"/>
    <w:rsid w:val="00276336"/>
    <w:rsid w:val="0028596E"/>
    <w:rsid w:val="00293C80"/>
    <w:rsid w:val="00296846"/>
    <w:rsid w:val="002A37D3"/>
    <w:rsid w:val="002A7619"/>
    <w:rsid w:val="002B5E1A"/>
    <w:rsid w:val="002D09B3"/>
    <w:rsid w:val="002F0DF7"/>
    <w:rsid w:val="002F4F63"/>
    <w:rsid w:val="003148F1"/>
    <w:rsid w:val="00317251"/>
    <w:rsid w:val="00321E2E"/>
    <w:rsid w:val="00340C1D"/>
    <w:rsid w:val="00351CDB"/>
    <w:rsid w:val="00377D46"/>
    <w:rsid w:val="003965B5"/>
    <w:rsid w:val="003B1573"/>
    <w:rsid w:val="003C4D83"/>
    <w:rsid w:val="003E7496"/>
    <w:rsid w:val="0040070B"/>
    <w:rsid w:val="004123E6"/>
    <w:rsid w:val="00416F25"/>
    <w:rsid w:val="00430C4E"/>
    <w:rsid w:val="00441D87"/>
    <w:rsid w:val="00451CB0"/>
    <w:rsid w:val="00461DB2"/>
    <w:rsid w:val="00462480"/>
    <w:rsid w:val="00497A45"/>
    <w:rsid w:val="004A5C9A"/>
    <w:rsid w:val="004A726B"/>
    <w:rsid w:val="004C333C"/>
    <w:rsid w:val="004D329E"/>
    <w:rsid w:val="004E2C9A"/>
    <w:rsid w:val="004E65E5"/>
    <w:rsid w:val="004F42BE"/>
    <w:rsid w:val="004F5F91"/>
    <w:rsid w:val="0050050A"/>
    <w:rsid w:val="005057A3"/>
    <w:rsid w:val="00505A03"/>
    <w:rsid w:val="00512F1F"/>
    <w:rsid w:val="0052200A"/>
    <w:rsid w:val="00526499"/>
    <w:rsid w:val="0053539F"/>
    <w:rsid w:val="00546785"/>
    <w:rsid w:val="00565E93"/>
    <w:rsid w:val="005C5C4A"/>
    <w:rsid w:val="005D15E8"/>
    <w:rsid w:val="005E1768"/>
    <w:rsid w:val="005F653B"/>
    <w:rsid w:val="0060074D"/>
    <w:rsid w:val="00606E69"/>
    <w:rsid w:val="00616550"/>
    <w:rsid w:val="00650CD7"/>
    <w:rsid w:val="0065490C"/>
    <w:rsid w:val="006551C8"/>
    <w:rsid w:val="00660101"/>
    <w:rsid w:val="00685D08"/>
    <w:rsid w:val="00686DB3"/>
    <w:rsid w:val="007038D3"/>
    <w:rsid w:val="00713344"/>
    <w:rsid w:val="007237F9"/>
    <w:rsid w:val="0072509E"/>
    <w:rsid w:val="007312CB"/>
    <w:rsid w:val="007331E7"/>
    <w:rsid w:val="007407D0"/>
    <w:rsid w:val="00746964"/>
    <w:rsid w:val="00754658"/>
    <w:rsid w:val="00754F52"/>
    <w:rsid w:val="00765286"/>
    <w:rsid w:val="00773AC0"/>
    <w:rsid w:val="00783F94"/>
    <w:rsid w:val="0078518E"/>
    <w:rsid w:val="007A2D30"/>
    <w:rsid w:val="007A4CEE"/>
    <w:rsid w:val="007A67C1"/>
    <w:rsid w:val="007B6478"/>
    <w:rsid w:val="007E3B33"/>
    <w:rsid w:val="00824263"/>
    <w:rsid w:val="008310EE"/>
    <w:rsid w:val="00832D4F"/>
    <w:rsid w:val="00873D7C"/>
    <w:rsid w:val="008916AC"/>
    <w:rsid w:val="008A4031"/>
    <w:rsid w:val="008B196F"/>
    <w:rsid w:val="008C08AB"/>
    <w:rsid w:val="008C0FE5"/>
    <w:rsid w:val="008D55BA"/>
    <w:rsid w:val="008D68A7"/>
    <w:rsid w:val="008E3630"/>
    <w:rsid w:val="00933AEE"/>
    <w:rsid w:val="00937EAF"/>
    <w:rsid w:val="00956003"/>
    <w:rsid w:val="00970E38"/>
    <w:rsid w:val="009B1975"/>
    <w:rsid w:val="009B5A6E"/>
    <w:rsid w:val="009C2612"/>
    <w:rsid w:val="009C3E4F"/>
    <w:rsid w:val="009D37B5"/>
    <w:rsid w:val="009D77E6"/>
    <w:rsid w:val="009F778B"/>
    <w:rsid w:val="00A222F8"/>
    <w:rsid w:val="00A440F4"/>
    <w:rsid w:val="00A47BE4"/>
    <w:rsid w:val="00A53FF0"/>
    <w:rsid w:val="00A57737"/>
    <w:rsid w:val="00A62E4E"/>
    <w:rsid w:val="00A664F7"/>
    <w:rsid w:val="00AA219C"/>
    <w:rsid w:val="00AA365E"/>
    <w:rsid w:val="00AA36F7"/>
    <w:rsid w:val="00AB14CE"/>
    <w:rsid w:val="00AB6E9F"/>
    <w:rsid w:val="00AC18DF"/>
    <w:rsid w:val="00AD2037"/>
    <w:rsid w:val="00AD7C43"/>
    <w:rsid w:val="00AE2B40"/>
    <w:rsid w:val="00AF0FD9"/>
    <w:rsid w:val="00AF4307"/>
    <w:rsid w:val="00B13BB4"/>
    <w:rsid w:val="00B404FB"/>
    <w:rsid w:val="00B509BF"/>
    <w:rsid w:val="00B61E21"/>
    <w:rsid w:val="00B6216B"/>
    <w:rsid w:val="00B949FC"/>
    <w:rsid w:val="00BA72F2"/>
    <w:rsid w:val="00BD260D"/>
    <w:rsid w:val="00BD7BD7"/>
    <w:rsid w:val="00BE62D9"/>
    <w:rsid w:val="00C019FF"/>
    <w:rsid w:val="00C047DC"/>
    <w:rsid w:val="00C17F91"/>
    <w:rsid w:val="00C37B7B"/>
    <w:rsid w:val="00C431B6"/>
    <w:rsid w:val="00C4322A"/>
    <w:rsid w:val="00C442E2"/>
    <w:rsid w:val="00C53F65"/>
    <w:rsid w:val="00C736EC"/>
    <w:rsid w:val="00C7539F"/>
    <w:rsid w:val="00CA1F77"/>
    <w:rsid w:val="00CB01C0"/>
    <w:rsid w:val="00CB2EFC"/>
    <w:rsid w:val="00D02673"/>
    <w:rsid w:val="00D2599A"/>
    <w:rsid w:val="00D276B0"/>
    <w:rsid w:val="00D46CB5"/>
    <w:rsid w:val="00D57EDD"/>
    <w:rsid w:val="00D71866"/>
    <w:rsid w:val="00D723BC"/>
    <w:rsid w:val="00D77775"/>
    <w:rsid w:val="00DA2598"/>
    <w:rsid w:val="00DC2EF4"/>
    <w:rsid w:val="00DC6C1B"/>
    <w:rsid w:val="00DE1594"/>
    <w:rsid w:val="00DE66DC"/>
    <w:rsid w:val="00E07F59"/>
    <w:rsid w:val="00E10D2D"/>
    <w:rsid w:val="00E126FC"/>
    <w:rsid w:val="00E405D0"/>
    <w:rsid w:val="00E412FF"/>
    <w:rsid w:val="00E51DA5"/>
    <w:rsid w:val="00E55934"/>
    <w:rsid w:val="00E606EF"/>
    <w:rsid w:val="00E8028B"/>
    <w:rsid w:val="00EB7CDD"/>
    <w:rsid w:val="00EC4EC5"/>
    <w:rsid w:val="00EE2930"/>
    <w:rsid w:val="00EF0F37"/>
    <w:rsid w:val="00EF24CC"/>
    <w:rsid w:val="00EF35DB"/>
    <w:rsid w:val="00EF451F"/>
    <w:rsid w:val="00F0252B"/>
    <w:rsid w:val="00F3139F"/>
    <w:rsid w:val="00F408A4"/>
    <w:rsid w:val="00F465EA"/>
    <w:rsid w:val="00F52A44"/>
    <w:rsid w:val="00F5663C"/>
    <w:rsid w:val="00F579C2"/>
    <w:rsid w:val="00F62A27"/>
    <w:rsid w:val="00F75B28"/>
    <w:rsid w:val="00F946A2"/>
    <w:rsid w:val="00FA5889"/>
    <w:rsid w:val="00FA675C"/>
    <w:rsid w:val="00FB6B48"/>
    <w:rsid w:val="00FC3120"/>
    <w:rsid w:val="00FF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5A139"/>
  <w15:chartTrackingRefBased/>
  <w15:docId w15:val="{3CC3D13E-4ADE-4D3C-86B4-2886ACF9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6EF"/>
    <w:pPr>
      <w:spacing w:after="120" w:line="240" w:lineRule="auto"/>
    </w:pPr>
  </w:style>
  <w:style w:type="paragraph" w:styleId="Heading1">
    <w:name w:val="heading 1"/>
    <w:basedOn w:val="Normal"/>
    <w:next w:val="Normal"/>
    <w:link w:val="Heading1Char"/>
    <w:uiPriority w:val="9"/>
    <w:qFormat/>
    <w:rsid w:val="00CB01C0"/>
    <w:pPr>
      <w:keepNext/>
      <w:keepLines/>
      <w:spacing w:before="240"/>
      <w:outlineLvl w:val="0"/>
    </w:pPr>
    <w:rPr>
      <w:rFonts w:ascii="Calibri" w:eastAsiaTheme="majorEastAsia" w:hAnsi="Calibri" w:cstheme="majorBidi"/>
      <w:b/>
      <w:caps/>
      <w:color w:val="186EFF"/>
      <w:sz w:val="36"/>
      <w:szCs w:val="32"/>
    </w:rPr>
  </w:style>
  <w:style w:type="paragraph" w:styleId="Heading2">
    <w:name w:val="heading 2"/>
    <w:basedOn w:val="Normal"/>
    <w:next w:val="Normal"/>
    <w:link w:val="Heading2Char"/>
    <w:uiPriority w:val="9"/>
    <w:unhideWhenUsed/>
    <w:qFormat/>
    <w:rsid w:val="00937EAF"/>
    <w:pPr>
      <w:keepNext/>
      <w:keepLines/>
      <w:spacing w:before="60" w:after="60"/>
      <w:outlineLvl w:val="1"/>
    </w:pPr>
    <w:rPr>
      <w:rFonts w:asciiTheme="majorHAnsi" w:eastAsiaTheme="majorEastAsia" w:hAnsiTheme="majorHAnsi" w:cstheme="majorBidi"/>
      <w:b/>
      <w:color w:val="404040" w:themeColor="text1" w:themeTint="BF"/>
      <w:sz w:val="24"/>
      <w:szCs w:val="26"/>
    </w:rPr>
  </w:style>
  <w:style w:type="paragraph" w:styleId="Heading3">
    <w:name w:val="heading 3"/>
    <w:basedOn w:val="Normal"/>
    <w:next w:val="Normal"/>
    <w:link w:val="Heading3Char"/>
    <w:uiPriority w:val="9"/>
    <w:unhideWhenUsed/>
    <w:qFormat/>
    <w:rsid w:val="00EF24CC"/>
    <w:pPr>
      <w:keepNext/>
      <w:keepLines/>
      <w:spacing w:before="40"/>
      <w:outlineLvl w:val="2"/>
    </w:pPr>
    <w:rPr>
      <w:rFonts w:asciiTheme="majorHAnsi" w:eastAsiaTheme="majorEastAsia" w:hAnsiTheme="majorHAnsi" w:cstheme="majorBidi"/>
      <w:b/>
      <w:color w:val="C60F13"/>
      <w:szCs w:val="24"/>
    </w:rPr>
  </w:style>
  <w:style w:type="paragraph" w:styleId="Heading4">
    <w:name w:val="heading 4"/>
    <w:basedOn w:val="Normal"/>
    <w:next w:val="Normal"/>
    <w:link w:val="Heading4Char"/>
    <w:uiPriority w:val="9"/>
    <w:unhideWhenUsed/>
    <w:qFormat/>
    <w:rsid w:val="00F566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1C0"/>
    <w:rPr>
      <w:rFonts w:ascii="Calibri" w:eastAsiaTheme="majorEastAsia" w:hAnsi="Calibri" w:cstheme="majorBidi"/>
      <w:b/>
      <w:caps/>
      <w:color w:val="186EFF"/>
      <w:sz w:val="36"/>
      <w:szCs w:val="32"/>
    </w:rPr>
  </w:style>
  <w:style w:type="character" w:customStyle="1" w:styleId="Heading2Char">
    <w:name w:val="Heading 2 Char"/>
    <w:basedOn w:val="DefaultParagraphFont"/>
    <w:link w:val="Heading2"/>
    <w:uiPriority w:val="9"/>
    <w:rsid w:val="00937EAF"/>
    <w:rPr>
      <w:rFonts w:asciiTheme="majorHAnsi" w:eastAsiaTheme="majorEastAsia" w:hAnsiTheme="majorHAnsi" w:cstheme="majorBidi"/>
      <w:b/>
      <w:color w:val="404040" w:themeColor="text1" w:themeTint="BF"/>
      <w:sz w:val="24"/>
      <w:szCs w:val="26"/>
    </w:rPr>
  </w:style>
  <w:style w:type="paragraph" w:styleId="Title">
    <w:name w:val="Title"/>
    <w:basedOn w:val="Normal"/>
    <w:next w:val="Normal"/>
    <w:link w:val="TitleChar"/>
    <w:uiPriority w:val="10"/>
    <w:qFormat/>
    <w:rsid w:val="00EF24CC"/>
    <w:pPr>
      <w:spacing w:after="0"/>
      <w:contextualSpacing/>
    </w:pPr>
    <w:rPr>
      <w:rFonts w:asciiTheme="majorHAnsi" w:eastAsiaTheme="majorEastAsia" w:hAnsiTheme="majorHAnsi" w:cstheme="majorBidi"/>
      <w:b/>
      <w:color w:val="076191"/>
      <w:spacing w:val="-10"/>
      <w:kern w:val="28"/>
      <w:sz w:val="36"/>
      <w:szCs w:val="56"/>
    </w:rPr>
  </w:style>
  <w:style w:type="character" w:customStyle="1" w:styleId="TitleChar">
    <w:name w:val="Title Char"/>
    <w:basedOn w:val="DefaultParagraphFont"/>
    <w:link w:val="Title"/>
    <w:uiPriority w:val="10"/>
    <w:rsid w:val="00EF24CC"/>
    <w:rPr>
      <w:rFonts w:asciiTheme="majorHAnsi" w:eastAsiaTheme="majorEastAsia" w:hAnsiTheme="majorHAnsi" w:cstheme="majorBidi"/>
      <w:b/>
      <w:color w:val="076191"/>
      <w:spacing w:val="-10"/>
      <w:kern w:val="28"/>
      <w:sz w:val="36"/>
      <w:szCs w:val="56"/>
    </w:rPr>
  </w:style>
  <w:style w:type="character" w:customStyle="1" w:styleId="Heading3Char">
    <w:name w:val="Heading 3 Char"/>
    <w:basedOn w:val="DefaultParagraphFont"/>
    <w:link w:val="Heading3"/>
    <w:uiPriority w:val="9"/>
    <w:rsid w:val="00EF24CC"/>
    <w:rPr>
      <w:rFonts w:asciiTheme="majorHAnsi" w:eastAsiaTheme="majorEastAsia" w:hAnsiTheme="majorHAnsi" w:cstheme="majorBidi"/>
      <w:b/>
      <w:color w:val="C60F13"/>
      <w:szCs w:val="24"/>
    </w:rPr>
  </w:style>
  <w:style w:type="paragraph" w:styleId="Header">
    <w:name w:val="header"/>
    <w:basedOn w:val="Normal"/>
    <w:link w:val="HeaderChar"/>
    <w:uiPriority w:val="99"/>
    <w:unhideWhenUsed/>
    <w:rsid w:val="00EF24CC"/>
    <w:pPr>
      <w:tabs>
        <w:tab w:val="center" w:pos="4680"/>
        <w:tab w:val="right" w:pos="9360"/>
      </w:tabs>
      <w:spacing w:after="0"/>
    </w:pPr>
  </w:style>
  <w:style w:type="character" w:customStyle="1" w:styleId="HeaderChar">
    <w:name w:val="Header Char"/>
    <w:basedOn w:val="DefaultParagraphFont"/>
    <w:link w:val="Header"/>
    <w:uiPriority w:val="99"/>
    <w:rsid w:val="00EF24CC"/>
  </w:style>
  <w:style w:type="paragraph" w:styleId="Footer">
    <w:name w:val="footer"/>
    <w:basedOn w:val="Normal"/>
    <w:link w:val="FooterChar"/>
    <w:uiPriority w:val="99"/>
    <w:unhideWhenUsed/>
    <w:rsid w:val="00EF24CC"/>
    <w:pPr>
      <w:tabs>
        <w:tab w:val="center" w:pos="4680"/>
        <w:tab w:val="right" w:pos="9360"/>
      </w:tabs>
      <w:spacing w:after="0"/>
    </w:pPr>
  </w:style>
  <w:style w:type="character" w:customStyle="1" w:styleId="FooterChar">
    <w:name w:val="Footer Char"/>
    <w:basedOn w:val="DefaultParagraphFont"/>
    <w:link w:val="Footer"/>
    <w:uiPriority w:val="99"/>
    <w:rsid w:val="00EF24CC"/>
  </w:style>
  <w:style w:type="table" w:styleId="TableGrid">
    <w:name w:val="Table Grid"/>
    <w:basedOn w:val="TableNormal"/>
    <w:uiPriority w:val="59"/>
    <w:rsid w:val="007652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E4E"/>
    <w:pPr>
      <w:ind w:left="720"/>
      <w:contextualSpacing/>
    </w:pPr>
  </w:style>
  <w:style w:type="character" w:styleId="Hyperlink">
    <w:name w:val="Hyperlink"/>
    <w:basedOn w:val="DefaultParagraphFont"/>
    <w:uiPriority w:val="99"/>
    <w:unhideWhenUsed/>
    <w:rsid w:val="00351CDB"/>
    <w:rPr>
      <w:color w:val="0563C1" w:themeColor="hyperlink"/>
      <w:u w:val="single"/>
    </w:rPr>
  </w:style>
  <w:style w:type="character" w:styleId="UnresolvedMention">
    <w:name w:val="Unresolved Mention"/>
    <w:basedOn w:val="DefaultParagraphFont"/>
    <w:uiPriority w:val="99"/>
    <w:semiHidden/>
    <w:unhideWhenUsed/>
    <w:rsid w:val="00351CDB"/>
    <w:rPr>
      <w:color w:val="605E5C"/>
      <w:shd w:val="clear" w:color="auto" w:fill="E1DFDD"/>
    </w:rPr>
  </w:style>
  <w:style w:type="character" w:customStyle="1" w:styleId="Heading4Char">
    <w:name w:val="Heading 4 Char"/>
    <w:basedOn w:val="DefaultParagraphFont"/>
    <w:link w:val="Heading4"/>
    <w:uiPriority w:val="9"/>
    <w:rsid w:val="00F5663C"/>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C01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ema.gov/emergency-managers/national-preparedness/mission-core-capabil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ma.gov/emergency-managers/national-preparedness/mission-core-capabili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C9079-7A48-45BB-BEE9-8BBE3B7E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2272</Words>
  <Characters>14389</Characters>
  <Application>Microsoft Office Word</Application>
  <DocSecurity>0</DocSecurity>
  <Lines>479</Lines>
  <Paragraphs>282</Paragraphs>
  <ScaleCrop>false</ScaleCrop>
  <HeadingPairs>
    <vt:vector size="2" baseType="variant">
      <vt:variant>
        <vt:lpstr>Title</vt:lpstr>
      </vt:variant>
      <vt:variant>
        <vt:i4>1</vt:i4>
      </vt:variant>
    </vt:vector>
  </HeadingPairs>
  <TitlesOfParts>
    <vt:vector size="1" baseType="lpstr">
      <vt:lpstr>Integreated Preparedness Plan</vt:lpstr>
    </vt:vector>
  </TitlesOfParts>
  <Manager/>
  <Company>Safety University</Company>
  <LinksUpToDate>false</LinksUpToDate>
  <CharactersWithSpaces>16379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Integreated Preparedness Plan</dc:title>
  <dc:subject/>
  <dc:creator>Adam Wojciehowski</dc:creator>
  <cp:keywords>FEMA, MYTEP, IPP, Training, Exercise, Plan</cp:keywords>
  <dc:description/>
  <cp:lastModifiedBy>Adam Wojciehowski</cp:lastModifiedBy>
  <cp:revision>3</cp:revision>
  <cp:lastPrinted>2022-01-13T19:22:00Z</cp:lastPrinted>
  <dcterms:created xsi:type="dcterms:W3CDTF">2023-10-01T02:24:00Z</dcterms:created>
  <dcterms:modified xsi:type="dcterms:W3CDTF">2023-10-01T02:27:00Z</dcterms:modified>
  <cp:category/>
</cp:coreProperties>
</file>